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河北省粮食和物资储备局</w:t>
      </w:r>
    </w:p>
    <w:p>
      <w:pPr>
        <w:jc w:val="center"/>
        <w:rPr>
          <w:rFonts w:ascii="黑体" w:hAnsi="黑体" w:eastAsia="黑体" w:cs="黑体"/>
          <w:sz w:val="36"/>
          <w:szCs w:val="36"/>
        </w:rPr>
      </w:pPr>
      <w:r>
        <w:rPr>
          <w:rFonts w:hint="eastAsia" w:ascii="黑体" w:hAnsi="黑体" w:eastAsia="黑体" w:cs="黑体"/>
          <w:sz w:val="36"/>
          <w:szCs w:val="36"/>
        </w:rPr>
        <w:t>2020年部门预算信息公开情况说明</w:t>
      </w:r>
    </w:p>
    <w:p>
      <w:pPr>
        <w:ind w:firstLine="640" w:firstLineChars="200"/>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highlight w:val="none"/>
        </w:rPr>
        <w:t>《中华人民共和国预算法》</w:t>
      </w:r>
      <w:r>
        <w:rPr>
          <w:rFonts w:hint="eastAsia" w:ascii="仿宋" w:hAnsi="仿宋" w:eastAsia="仿宋" w:cs="仿宋"/>
          <w:sz w:val="32"/>
          <w:szCs w:val="32"/>
        </w:rPr>
        <w:t>、《地方预决算公开操作规程》和《河北省省级预算公开办法》的规定，现将河北省粮食和物资储备局2020年部门预算公开如下：</w:t>
      </w:r>
    </w:p>
    <w:p>
      <w:pPr>
        <w:spacing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一、部门职责及机构设置情况</w:t>
      </w:r>
    </w:p>
    <w:p>
      <w:pPr>
        <w:spacing w:line="500" w:lineRule="exact"/>
        <w:ind w:firstLine="642" w:firstLineChars="200"/>
        <w:jc w:val="left"/>
        <w:rPr>
          <w:rFonts w:ascii="仿宋" w:hAnsi="仿宋" w:eastAsia="仿宋" w:cs="仿宋"/>
          <w:b/>
          <w:sz w:val="32"/>
          <w:szCs w:val="32"/>
        </w:rPr>
      </w:pPr>
      <w:r>
        <w:rPr>
          <w:rFonts w:hint="eastAsia" w:ascii="仿宋" w:hAnsi="仿宋" w:eastAsia="仿宋" w:cs="仿宋"/>
          <w:b/>
          <w:sz w:val="32"/>
          <w:szCs w:val="32"/>
        </w:rPr>
        <w:t>部门职责：</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（一）组织落实国家、省有关粮食流通和物资储备的法律、法规和政策。拟订全省粮食流通、省级粮食储备和物资储备的政策和规章制度并组织实施。指导全省粮食流通和物资储备体制改革。</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二）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（三）研究提出省级粮食和物资储备规划、储备品种目录建议，组织实施省级粮食、食糖、食盐和救灾物资等物资的收储、轮换和日常管理，落实有关动用计划和指令。指导市县粮食和物资储备工作。</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（四）负责贯彻落实国家粮食和物资储备仓储管理有关技术标准和规范。负责粮食流通、加工行业安全生产的监督管理，承担省级粮食、食糖、食盐和救灾物资等物资承储企业以及物资储备承储单位安全生产的</w:t>
      </w:r>
      <w:r>
        <w:rPr>
          <w:rFonts w:hint="eastAsia" w:ascii="Times New Roman" w:hAnsi="Times New Roman" w:eastAsia="方正仿宋_GBK" w:cs="Times New Roman"/>
          <w:sz w:val="32"/>
          <w:szCs w:val="32"/>
        </w:rPr>
        <w:t>监管</w:t>
      </w:r>
      <w:r>
        <w:rPr>
          <w:rFonts w:hint="eastAsia" w:ascii="仿宋" w:hAnsi="仿宋" w:eastAsia="仿宋" w:cs="仿宋"/>
          <w:sz w:val="32"/>
        </w:rPr>
        <w:t>责任。</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（五）负责省级粮食、食糖、食盐和救灾物资等物资储备基础设施建设和管理。拟订粮食流通设施建设规划并</w:t>
      </w:r>
      <w:r>
        <w:rPr>
          <w:rFonts w:hint="eastAsia" w:ascii="Times New Roman" w:hAnsi="Times New Roman" w:eastAsia="方正仿宋_GBK" w:cs="Times New Roman"/>
          <w:sz w:val="32"/>
          <w:szCs w:val="32"/>
        </w:rPr>
        <w:t>组织</w:t>
      </w:r>
      <w:r>
        <w:rPr>
          <w:rFonts w:hint="eastAsia" w:ascii="仿宋" w:hAnsi="仿宋" w:eastAsia="仿宋" w:cs="仿宋"/>
          <w:sz w:val="32"/>
        </w:rPr>
        <w:t>实施，管理有关储备基础设施和粮食流通设施投资项目。</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六）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（七）贯彻</w:t>
      </w:r>
      <w:r>
        <w:rPr>
          <w:rFonts w:hint="eastAsia" w:ascii="Times New Roman" w:hAnsi="Times New Roman" w:eastAsia="方正仿宋_GBK" w:cs="Times New Roman"/>
          <w:sz w:val="32"/>
          <w:szCs w:val="32"/>
        </w:rPr>
        <w:t>国家</w:t>
      </w:r>
      <w:r>
        <w:rPr>
          <w:rFonts w:hint="eastAsia" w:ascii="仿宋" w:hAnsi="仿宋" w:eastAsia="仿宋" w:cs="仿宋"/>
          <w:sz w:val="32"/>
        </w:rPr>
        <w:t>粮食流通和物资储备有关标准、粮食质量标准和有关技术规范并监督执行。开展全省粮食和物资储备的对外合作与交流。</w:t>
      </w:r>
    </w:p>
    <w:p>
      <w:pPr>
        <w:spacing w:line="500" w:lineRule="exact"/>
        <w:ind w:firstLine="640" w:firstLineChars="200"/>
        <w:jc w:val="left"/>
        <w:rPr>
          <w:rFonts w:ascii="仿宋" w:hAnsi="仿宋" w:eastAsia="仿宋" w:cs="仿宋"/>
          <w:sz w:val="32"/>
        </w:rPr>
      </w:pPr>
      <w:r>
        <w:rPr>
          <w:rFonts w:hint="eastAsia" w:ascii="仿宋" w:hAnsi="仿宋" w:eastAsia="仿宋" w:cs="仿宋"/>
          <w:sz w:val="32"/>
        </w:rPr>
        <w:t>（八）完成省委、</w:t>
      </w:r>
      <w:r>
        <w:rPr>
          <w:rFonts w:hint="eastAsia" w:ascii="Times New Roman" w:hAnsi="Times New Roman" w:eastAsia="方正仿宋_GBK" w:cs="Times New Roman"/>
          <w:sz w:val="32"/>
          <w:szCs w:val="32"/>
        </w:rPr>
        <w:t>省政府</w:t>
      </w:r>
      <w:r>
        <w:rPr>
          <w:rFonts w:hint="eastAsia" w:ascii="仿宋" w:hAnsi="仿宋" w:eastAsia="仿宋" w:cs="仿宋"/>
          <w:sz w:val="32"/>
        </w:rPr>
        <w:t>交办的其他任务。</w:t>
      </w:r>
    </w:p>
    <w:p>
      <w:pPr>
        <w:autoSpaceDE w:val="0"/>
        <w:autoSpaceDN w:val="0"/>
        <w:adjustRightInd w:val="0"/>
        <w:jc w:val="left"/>
        <w:rPr>
          <w:rFonts w:ascii="仿宋" w:hAnsi="仿宋" w:eastAsia="仿宋" w:cs="仿宋"/>
          <w:b/>
          <w:sz w:val="32"/>
          <w:szCs w:val="32"/>
        </w:rPr>
      </w:pPr>
      <w:r>
        <w:rPr>
          <w:rFonts w:hint="eastAsia" w:ascii="仿宋" w:hAnsi="仿宋" w:eastAsia="仿宋" w:cs="仿宋"/>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rPr>
        <w:t>部门机构设置情况</w:t>
      </w:r>
    </w:p>
    <w:tbl>
      <w:tblPr>
        <w:tblStyle w:val="4"/>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shd w:val="clear" w:color="auto" w:fill="auto"/>
            <w:vAlign w:val="center"/>
          </w:tcPr>
          <w:p>
            <w:pPr>
              <w:spacing w:line="300" w:lineRule="exact"/>
              <w:jc w:val="left"/>
              <w:outlineLvl w:val="0"/>
              <w:rPr>
                <w:rFonts w:ascii="仿宋" w:hAnsi="仿宋" w:eastAsia="仿宋" w:cs="仿宋"/>
              </w:rPr>
            </w:pPr>
          </w:p>
        </w:tc>
        <w:tc>
          <w:tcPr>
            <w:tcW w:w="1134" w:type="dxa"/>
            <w:vMerge w:val="continue"/>
            <w:shd w:val="clear" w:color="auto" w:fill="auto"/>
            <w:vAlign w:val="center"/>
          </w:tcPr>
          <w:p>
            <w:pPr>
              <w:spacing w:line="300" w:lineRule="exact"/>
              <w:jc w:val="left"/>
              <w:outlineLvl w:val="0"/>
              <w:rPr>
                <w:rFonts w:ascii="仿宋" w:hAnsi="仿宋" w:eastAsia="仿宋" w:cs="仿宋"/>
              </w:rPr>
            </w:pPr>
          </w:p>
        </w:tc>
        <w:tc>
          <w:tcPr>
            <w:tcW w:w="1276" w:type="dxa"/>
            <w:vMerge w:val="continue"/>
            <w:shd w:val="clear" w:color="auto" w:fill="auto"/>
            <w:vAlign w:val="center"/>
          </w:tcPr>
          <w:p>
            <w:pPr>
              <w:spacing w:line="300" w:lineRule="exact"/>
              <w:jc w:val="left"/>
              <w:outlineLvl w:val="0"/>
              <w:rPr>
                <w:rFonts w:ascii="仿宋" w:hAnsi="仿宋" w:eastAsia="仿宋" w:cs="仿宋"/>
              </w:rPr>
            </w:pPr>
          </w:p>
        </w:tc>
        <w:tc>
          <w:tcPr>
            <w:tcW w:w="3013" w:type="dxa"/>
            <w:vMerge w:val="continue"/>
            <w:shd w:val="clear" w:color="auto" w:fill="auto"/>
            <w:vAlign w:val="center"/>
          </w:tcPr>
          <w:p>
            <w:pPr>
              <w:spacing w:line="300" w:lineRule="exact"/>
              <w:jc w:val="left"/>
              <w:outlineLvl w:val="0"/>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河北省粮食和物资储备局（机关）</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河北省军供粮油服务中心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河北省粮食科学研究所</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w:t>
            </w:r>
          </w:p>
        </w:tc>
        <w:tc>
          <w:tcPr>
            <w:tcW w:w="1276" w:type="dxa"/>
            <w:shd w:val="clear" w:color="auto" w:fill="auto"/>
            <w:vAlign w:val="center"/>
          </w:tcPr>
          <w:p>
            <w:pPr>
              <w:spacing w:line="300" w:lineRule="exact"/>
              <w:jc w:val="center"/>
              <w:rPr>
                <w:rFonts w:ascii="方正书宋_GBK" w:eastAsia="方正书宋_GBK"/>
              </w:rPr>
            </w:pPr>
          </w:p>
        </w:tc>
        <w:tc>
          <w:tcPr>
            <w:tcW w:w="3013"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河北省粮油信息中心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河北省粮油质量检测中心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河北省储备粮管理中心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河北省粮食和物资储备局机关服务中心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河北省救灾物资储备中心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仿宋" w:hAnsi="仿宋" w:eastAsia="仿宋" w:cs="仿宋"/>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仿宋"/>
          <w:sz w:val="32"/>
          <w:szCs w:val="32"/>
        </w:rPr>
      </w:pPr>
      <w:r>
        <w:rPr>
          <w:rFonts w:hint="eastAsia" w:ascii="仿宋" w:hAnsi="仿宋" w:eastAsia="仿宋" w:cs="仿宋"/>
          <w:sz w:val="32"/>
          <w:szCs w:val="32"/>
        </w:rPr>
        <w:t>按照预算管理有关规定，目前我省部门预算的编制实行综合预算管理，即全部收入和支出都反映在预算中。河北省粮食和物资储备局机关及所属事业单位的收支包含在部门预算中。</w:t>
      </w:r>
    </w:p>
    <w:p>
      <w:pPr>
        <w:ind w:firstLine="642" w:firstLineChars="200"/>
        <w:rPr>
          <w:rFonts w:ascii="仿宋" w:hAnsi="仿宋" w:eastAsia="仿宋" w:cs="仿宋"/>
          <w:b/>
          <w:bCs/>
          <w:sz w:val="32"/>
          <w:szCs w:val="32"/>
        </w:rPr>
      </w:pPr>
      <w:r>
        <w:rPr>
          <w:rFonts w:hint="eastAsia" w:ascii="仿宋" w:hAnsi="仿宋" w:eastAsia="仿宋" w:cs="仿宋"/>
          <w:b/>
          <w:bCs/>
          <w:sz w:val="32"/>
          <w:szCs w:val="32"/>
        </w:rPr>
        <w:t>1、收入说明</w:t>
      </w:r>
    </w:p>
    <w:p>
      <w:pPr>
        <w:ind w:firstLine="640" w:firstLineChars="200"/>
        <w:rPr>
          <w:rFonts w:ascii="仿宋" w:hAnsi="仿宋" w:eastAsia="仿宋" w:cs="仿宋"/>
          <w:sz w:val="32"/>
          <w:szCs w:val="32"/>
        </w:rPr>
      </w:pPr>
      <w:r>
        <w:rPr>
          <w:rFonts w:hint="eastAsia" w:ascii="仿宋" w:hAnsi="仿宋" w:eastAsia="仿宋" w:cs="仿宋"/>
          <w:sz w:val="32"/>
          <w:szCs w:val="32"/>
        </w:rPr>
        <w:t>反映本部门当年全部收入。2020年预算收入8065.27万元，其中：一般公共预算收入7867.87万元，基金预算收入0</w:t>
      </w:r>
      <w:r>
        <w:rPr>
          <w:rFonts w:hint="eastAsia" w:ascii="Times New Roman" w:hAnsi="Times New Roman" w:eastAsia="方正仿宋_GBK" w:cs="Times New Roman"/>
          <w:sz w:val="32"/>
          <w:szCs w:val="32"/>
        </w:rPr>
        <w:t>万元</w:t>
      </w:r>
      <w:r>
        <w:rPr>
          <w:rFonts w:hint="eastAsia" w:ascii="仿宋" w:hAnsi="仿宋" w:eastAsia="仿宋" w:cs="仿宋"/>
          <w:sz w:val="32"/>
          <w:szCs w:val="32"/>
        </w:rPr>
        <w:t>，财政专户核拨收入0万元，其他来源收入197.40万元。</w:t>
      </w:r>
    </w:p>
    <w:p>
      <w:pPr>
        <w:ind w:firstLine="642" w:firstLineChars="200"/>
        <w:rPr>
          <w:rFonts w:ascii="仿宋" w:hAnsi="仿宋" w:eastAsia="仿宋" w:cs="仿宋"/>
          <w:b/>
          <w:bCs/>
          <w:sz w:val="32"/>
          <w:szCs w:val="32"/>
        </w:rPr>
      </w:pPr>
      <w:r>
        <w:rPr>
          <w:rFonts w:hint="eastAsia" w:ascii="仿宋" w:hAnsi="仿宋" w:eastAsia="仿宋" w:cs="仿宋"/>
          <w:b/>
          <w:bCs/>
          <w:sz w:val="32"/>
          <w:szCs w:val="32"/>
        </w:rPr>
        <w:t>2、支出说明</w:t>
      </w:r>
    </w:p>
    <w:p>
      <w:pPr>
        <w:ind w:firstLine="640" w:firstLineChars="200"/>
        <w:rPr>
          <w:rFonts w:ascii="仿宋" w:hAnsi="仿宋" w:eastAsia="仿宋" w:cs="仿宋"/>
          <w:sz w:val="32"/>
          <w:szCs w:val="32"/>
        </w:rPr>
      </w:pPr>
      <w:r>
        <w:rPr>
          <w:rFonts w:hint="eastAsia" w:ascii="仿宋" w:hAnsi="仿宋" w:eastAsia="仿宋" w:cs="仿宋"/>
          <w:sz w:val="32"/>
          <w:szCs w:val="32"/>
        </w:rPr>
        <w:t>收支预算总表支</w:t>
      </w:r>
      <w:r>
        <w:rPr>
          <w:rFonts w:hint="eastAsia" w:ascii="Times New Roman" w:hAnsi="Times New Roman" w:eastAsia="方正仿宋_GBK" w:cs="Times New Roman"/>
          <w:sz w:val="32"/>
          <w:szCs w:val="32"/>
        </w:rPr>
        <w:t>出栏</w:t>
      </w:r>
      <w:r>
        <w:rPr>
          <w:rFonts w:hint="eastAsia" w:ascii="仿宋" w:hAnsi="仿宋" w:eastAsia="仿宋" w:cs="仿宋"/>
          <w:sz w:val="32"/>
          <w:szCs w:val="32"/>
        </w:rPr>
        <w:t>、基本支出表、项目支出表按经济分类和支出功能分类科目编制，反映河北省粮食和物资储备局年度部门预算中支出预算的总体情况。2020年支出预算8065.27万元，其中基本支出3511.96万元，包括人员经费2842.38万元和日常公用经费669.58万元；项目支出4553.31万元，主要为重要物资储备支出等；其他支出0万元。</w:t>
      </w:r>
    </w:p>
    <w:p>
      <w:pPr>
        <w:ind w:firstLine="642" w:firstLineChars="200"/>
        <w:rPr>
          <w:rFonts w:ascii="仿宋" w:hAnsi="仿宋" w:eastAsia="仿宋" w:cs="仿宋"/>
          <w:sz w:val="32"/>
          <w:szCs w:val="32"/>
        </w:rPr>
      </w:pPr>
      <w:r>
        <w:rPr>
          <w:rFonts w:hint="eastAsia" w:ascii="仿宋" w:hAnsi="仿宋" w:eastAsia="仿宋" w:cs="仿宋"/>
          <w:b/>
          <w:bCs/>
          <w:sz w:val="32"/>
          <w:szCs w:val="32"/>
        </w:rPr>
        <w:t>3、比上年增减情况</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2020年预算收支安排8065.27万元，较2019年预算增加3453.65万元，其中：基本支出增加391.34万元，主要为增加人员经费支出；项目支出增加3062.31万元，主要为重要物资储备支出；其他支出增加0万元。</w:t>
      </w:r>
    </w:p>
    <w:p>
      <w:pPr>
        <w:autoSpaceDE w:val="0"/>
        <w:autoSpaceDN w:val="0"/>
        <w:adjustRightInd w:val="0"/>
        <w:ind w:firstLine="640" w:firstLineChars="200"/>
        <w:jc w:val="left"/>
        <w:rPr>
          <w:rFonts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2020年，我</w:t>
      </w:r>
      <w:r>
        <w:rPr>
          <w:rFonts w:hint="eastAsia" w:ascii="仿宋" w:hAnsi="仿宋" w:eastAsia="仿宋" w:cs="仿宋"/>
          <w:sz w:val="32"/>
          <w:szCs w:val="32"/>
          <w:lang w:eastAsia="zh-CN"/>
        </w:rPr>
        <w:t>局</w:t>
      </w:r>
      <w:r>
        <w:rPr>
          <w:rFonts w:hint="eastAsia" w:ascii="仿宋" w:hAnsi="仿宋" w:eastAsia="仿宋" w:cs="仿宋"/>
          <w:sz w:val="32"/>
          <w:szCs w:val="32"/>
        </w:rPr>
        <w:t>机关运行经费共计安排257.76万元，主要用于日常维修、办公用房水电费、办公用房取暖费、办公用房物业管理费等日常运行支出。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2020年，我局财政拨款“三公”经费预算安排79.73万元，其中因公出国（境）费14万元；公务用车购置及运维费60.40万元（其中：公务用车购置费为0万元，公务用车运维费60.40万元)；公务接待费5.33万元。</w:t>
      </w:r>
      <w:r>
        <w:rPr>
          <w:rFonts w:hint="eastAsia" w:ascii="仿宋" w:hAnsi="仿宋" w:eastAsia="仿宋" w:cs="仿宋"/>
          <w:sz w:val="32"/>
          <w:szCs w:val="32"/>
          <w:lang w:val="en-US" w:eastAsia="zh-CN"/>
        </w:rPr>
        <w:t>2020年“</w:t>
      </w:r>
      <w:r>
        <w:rPr>
          <w:rFonts w:hint="eastAsia" w:ascii="仿宋" w:hAnsi="仿宋" w:eastAsia="仿宋" w:cs="仿宋"/>
          <w:sz w:val="32"/>
          <w:szCs w:val="32"/>
        </w:rPr>
        <w:t>三公</w:t>
      </w:r>
      <w:r>
        <w:rPr>
          <w:rFonts w:hint="eastAsia" w:ascii="仿宋" w:hAnsi="仿宋" w:eastAsia="仿宋" w:cs="仿宋"/>
          <w:sz w:val="32"/>
          <w:szCs w:val="32"/>
          <w:lang w:val="en-US" w:eastAsia="zh-CN"/>
        </w:rPr>
        <w:t>”经费</w:t>
      </w:r>
      <w:r>
        <w:rPr>
          <w:rFonts w:hint="eastAsia" w:ascii="仿宋" w:hAnsi="仿宋" w:eastAsia="仿宋" w:cs="仿宋"/>
          <w:sz w:val="32"/>
          <w:szCs w:val="32"/>
        </w:rPr>
        <w:t>与2019年相比减少0.03万元，</w:t>
      </w:r>
      <w:r>
        <w:rPr>
          <w:rFonts w:hint="eastAsia" w:ascii="仿宋" w:hAnsi="仿宋" w:eastAsia="仿宋" w:cs="仿宋"/>
          <w:sz w:val="32"/>
          <w:szCs w:val="32"/>
          <w:lang w:eastAsia="zh-CN"/>
        </w:rPr>
        <w:t>原因是</w:t>
      </w:r>
      <w:r>
        <w:rPr>
          <w:rFonts w:hint="eastAsia" w:ascii="仿宋" w:hAnsi="仿宋" w:eastAsia="仿宋" w:cs="仿宋"/>
          <w:sz w:val="32"/>
          <w:szCs w:val="32"/>
        </w:rPr>
        <w:t>因公出国（境）费</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2019年相比</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0.03万元，主要原因是出国需求出现变化，调减了出国经费的预算，</w:t>
      </w:r>
      <w:r>
        <w:rPr>
          <w:rFonts w:hint="eastAsia" w:ascii="仿宋" w:hAnsi="仿宋" w:eastAsia="仿宋" w:cs="仿宋"/>
          <w:sz w:val="32"/>
          <w:szCs w:val="32"/>
        </w:rPr>
        <w:t>公务用车购置及运维费</w:t>
      </w:r>
      <w:r>
        <w:rPr>
          <w:rFonts w:hint="eastAsia" w:ascii="仿宋" w:hAnsi="仿宋" w:eastAsia="仿宋" w:cs="仿宋"/>
          <w:sz w:val="32"/>
          <w:szCs w:val="32"/>
          <w:lang w:eastAsia="zh-CN"/>
        </w:rPr>
        <w:t>、</w:t>
      </w:r>
      <w:r>
        <w:rPr>
          <w:rFonts w:hint="eastAsia" w:ascii="仿宋" w:hAnsi="仿宋" w:eastAsia="仿宋" w:cs="仿宋"/>
          <w:sz w:val="32"/>
          <w:szCs w:val="32"/>
        </w:rPr>
        <w:t>公务接待费</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2019年相比增减无变化。</w:t>
      </w:r>
    </w:p>
    <w:p>
      <w:pPr>
        <w:ind w:firstLine="640" w:firstLineChars="200"/>
        <w:rPr>
          <w:rFonts w:ascii="仿宋" w:hAnsi="仿宋" w:eastAsia="仿宋" w:cs="仿宋"/>
          <w:sz w:val="32"/>
          <w:szCs w:val="32"/>
        </w:rPr>
      </w:pPr>
      <w:bookmarkStart w:id="0" w:name="_Toc471398468"/>
      <w:r>
        <w:rPr>
          <w:rFonts w:hint="eastAsia" w:ascii="黑体" w:hAnsi="黑体" w:eastAsia="黑体" w:cs="黑体"/>
          <w:sz w:val="32"/>
          <w:szCs w:val="32"/>
        </w:rPr>
        <w:t>五、预算绩效信息</w:t>
      </w:r>
      <w:r>
        <w:rPr>
          <w:rFonts w:hint="eastAsia" w:ascii="仿宋" w:hAnsi="仿宋" w:eastAsia="仿宋" w:cs="仿宋"/>
          <w:sz w:val="32"/>
          <w:szCs w:val="32"/>
        </w:rPr>
        <w:t xml:space="preserve"> </w:t>
      </w:r>
    </w:p>
    <w:p>
      <w:pPr>
        <w:ind w:firstLine="642" w:firstLineChars="200"/>
        <w:jc w:val="left"/>
        <w:rPr>
          <w:rFonts w:ascii="Times New Roman" w:hAnsi="Times New Roman" w:eastAsia="方正仿宋_GBK" w:cs="Times New Roman"/>
          <w:b/>
          <w:sz w:val="32"/>
          <w:szCs w:val="32"/>
        </w:rPr>
      </w:pPr>
      <w:bookmarkStart w:id="1" w:name="_Toc471398463"/>
      <w:r>
        <w:rPr>
          <w:rFonts w:ascii="Times New Roman" w:hAnsi="Times New Roman" w:eastAsia="方正仿宋_GBK" w:cs="Times New Roman"/>
          <w:b/>
          <w:sz w:val="32"/>
          <w:szCs w:val="32"/>
        </w:rPr>
        <w:t>第一部分 部门整体绩效目标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（一）总体绩效目标</w:t>
      </w:r>
    </w:p>
    <w:p>
      <w:pPr>
        <w:spacing w:line="500" w:lineRule="exact"/>
        <w:ind w:firstLine="320" w:firstLineChars="1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rPr>
        <w:t xml:space="preserve"> 以习近平新时代中国特色社会主义思想为指导，全面贯彻党的十九大精神，认真落实省委、省政府决策部署及国家粮食和物资储备局工作安排，创新完善粮食宏观调控，落实粮食最低收购价政策，做好粮食流通统计调查，保证军供等政策性粮食供应，负责省级储备粮管理，抓好粮食安全省长责任制考核，提高粮食流通和质量安全监管能力。合理储备食盐、食糖等关乎民生的战略物资和受灾群众基本生活急需的救灾物资，全面加强粮食和物资储备和运送管理，提高全省粮食和物资储备安全保障水平，实现储备真实率、计划落实率和质量良好率100%,军粮供应计划落实率100%，部队满意率95%以上，确保食盐、食糖等战略物资的市场供给和受灾群众对救灾物资的基本需求，促进粮食流通和物资储备事业高质量发展，维护国家粮食安全，为建设新时代</w:t>
      </w:r>
      <w:r>
        <w:rPr>
          <w:rFonts w:hint="eastAsia" w:ascii="Times New Roman" w:hAnsi="Times New Roman" w:eastAsia="方正仿宋_GBK" w:cs="Times New Roman"/>
          <w:sz w:val="32"/>
          <w:szCs w:val="32"/>
          <w:highlight w:val="none"/>
        </w:rPr>
        <w:t>经济强省、美丽河北作出新的更大贡献</w:t>
      </w:r>
      <w:r>
        <w:rPr>
          <w:rFonts w:ascii="Times New Roman" w:hAnsi="Times New Roman" w:eastAsia="方正仿宋_GBK" w:cs="Times New Roman"/>
          <w:sz w:val="32"/>
          <w:szCs w:val="32"/>
          <w:highlight w:val="none"/>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（二）分项绩效目标</w:t>
      </w:r>
    </w:p>
    <w:p>
      <w:pPr>
        <w:spacing w:line="500" w:lineRule="exact"/>
        <w:ind w:firstLine="642" w:firstLineChars="200"/>
        <w:jc w:val="left"/>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1、粮食调控管理</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深化粮食收储制度改革，确保粮食收购政策落实到位，不出现区域性“卖粮难”；做好粮食流通统计调查；落实粮食储备政策，加强监督管理，确保省级储备粮数量真实、质量良好、存储安全，常储常新，</w:t>
      </w:r>
      <w:r>
        <w:rPr>
          <w:rFonts w:ascii="Times New Roman" w:hAnsi="Times New Roman" w:eastAsia="方正仿宋_GBK" w:cs="Times New Roman"/>
          <w:sz w:val="32"/>
          <w:szCs w:val="32"/>
          <w:highlight w:val="none"/>
        </w:rPr>
        <w:t>收</w:t>
      </w:r>
      <w:r>
        <w:rPr>
          <w:rFonts w:hint="eastAsia" w:ascii="Times New Roman" w:hAnsi="Times New Roman" w:eastAsia="方正仿宋_GBK" w:cs="Times New Roman"/>
          <w:sz w:val="32"/>
          <w:szCs w:val="32"/>
          <w:highlight w:val="none"/>
          <w:lang w:eastAsia="zh-CN"/>
        </w:rPr>
        <w:t>得</w:t>
      </w:r>
      <w:r>
        <w:rPr>
          <w:rFonts w:ascii="Times New Roman" w:hAnsi="Times New Roman" w:eastAsia="方正仿宋_GBK" w:cs="Times New Roman"/>
          <w:sz w:val="32"/>
          <w:szCs w:val="32"/>
          <w:highlight w:val="none"/>
        </w:rPr>
        <w:t>进、</w:t>
      </w:r>
      <w:r>
        <w:rPr>
          <w:rFonts w:ascii="Times New Roman" w:hAnsi="Times New Roman" w:eastAsia="方正仿宋_GBK" w:cs="Times New Roman"/>
          <w:sz w:val="32"/>
          <w:szCs w:val="32"/>
        </w:rPr>
        <w:t>储得好、调得动、用得上。</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粮食流通统计调查：数据完整率100%，数据正确率100%，数据报送及时提前；储备粮管理：数量真实率100%，储备计划落实率100%，储备粮质量良好率98%以上，应急保障率100%；粮食流通基础设施建设：所安排项目验收合格率90%以上，项目按期完成率90%以上，科学储粮率100%。</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b/>
          <w:bCs/>
          <w:sz w:val="32"/>
          <w:szCs w:val="32"/>
        </w:rPr>
        <w:t>2、粮食质量安全监管</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绩效目标：指导全省粮食储存保管及安全生产，负责对粮食收购、储存环节的粮食质量安全进行监督管理，质检体系建立健全，检测能力得到较大提升，不断扩大社会粮食监管范围。</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粮食质量安全监测体系建设:检查覆盖率100%，收购计量器具容重器送检鉴定率100%,省级质检机构检测能力实现提升，按时提前完成检测任务，政策性粮食监管率100%，社会粮食监管全覆盖；粮食市场监测预警：预警分析准确率90%以上，预警分析利用率90%以上，预警信息上报时限提前报送；粮食科技应用与推广：粮食科技普及率90%以上。</w:t>
      </w:r>
    </w:p>
    <w:p>
      <w:pPr>
        <w:spacing w:line="500" w:lineRule="exact"/>
        <w:ind w:firstLine="642" w:firstLineChars="200"/>
        <w:jc w:val="left"/>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3、粮食流通行政执法</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绩效目标：对社会粮食流通进行行政执法，依法实施行政处罚，指导行业监督检查和行业执法工作，严格规范公正文明执法，优化营商环境，维护粮食流通市场秩序，保护粮食生产者、经营者和消费者合法权益。</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法规建设与监督检查：执法人员培训率95%以上，持证上岗率100%，依法查处涉粮案件，案件查处正确率95%以上，案件查处办结及时；全省粮油库存检查：检查覆盖率100%，问题发现率不低于90%，问题整改率95%以上；行政复议及行政应诉：调查取证准确率100%，行政复议案件办结时限提前办结，行政应诉胜诉率95%以上。</w:t>
      </w:r>
    </w:p>
    <w:p>
      <w:pPr>
        <w:spacing w:line="500" w:lineRule="exact"/>
        <w:ind w:firstLine="642"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4、粮食安全责任制考核</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接受国家考核办对我省粮食安全省长责任制落实情况的考核，组织省15个部门单位开展省对市级政府的考核，督导我省各级政府担负本地粮食安全的主体责任，全面加强粮食生产、储备和流通能力建设，切实维护省域粮食安全。</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绩效指标：粮食安全省长责任制落实与管理：组织考核，按时提交省级自评报告和结果，督促问题整改，问题整改率95%以上。</w:t>
      </w:r>
    </w:p>
    <w:p>
      <w:pPr>
        <w:spacing w:line="500" w:lineRule="exact"/>
        <w:ind w:firstLine="642" w:firstLineChars="200"/>
        <w:jc w:val="left"/>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5、物资储备管理</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绩效目标：按照政府授权，落实国家、省有关物资储备的法律法规和政策，承担食盐、食糖和救灾物资等省级物资的储备管理，确保省级储备物资收得进、储得好、调得动、用得上。</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省级食盐储备及监管：完成当年食盐储备计划100%，储存质量良好;省级食糖储备及监管:完成当年食糖储备计划100%，储存质量良好；省级救灾物资储备及监管：救灾物资采购计划完成率100%，储存完好率100%，应急保障率100%。</w:t>
      </w:r>
    </w:p>
    <w:p>
      <w:pPr>
        <w:spacing w:line="500" w:lineRule="exact"/>
        <w:ind w:firstLine="642" w:firstLineChars="200"/>
        <w:jc w:val="left"/>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6、军供粮油管理</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绩效目标：建设军粮供应网格化全天候保障网络，搞好与部队的有效对接，坚持高标准、高质量做好日常政策性军粮供应、节日品种调剂、应急保障等各项需求及用粮安全，提升服务水平。</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绩效指标：军供粮油管理：质量合格率100%，调供品种配送率100%，资格认定如期完成，军粮供应网络建设完成率100%，军粮计划落实率100%，部队满意率95%以上。</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（三）工作保障措施</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为确保全面实现我部门年度绩效目标，采取如下工作保障措施：</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加强领导，强化管理：局机关成立部门年度绩效目标管理领导小组，局长任组长，主管副局长担任副组长，财审处、办公室等单位主要负责同志为成员。领导小组下设办公室，办公室设在财务审计处。领导小组办公室主要负责预算绩效目标的日常管理，一是按照《河北省部门预算绩效管理办法》，按要求开展绩效运行监控，每季度督促预算项目责任单位认真检查绩效运行情况，发现问题及时采取措施。同时及时将部门绩效运行情况上报省财政厅，确保绩效目标如期保质实现。二是做好绩效自评，按照省财政厅要求，认真开展2019年度我局部门预算绩效自评和重点评价工作，对评价中发现的问题及时整改，调整优化资金支出结构，提高财政资金使用效益。三是完成部门整体绩效目标、工作保障措施的制定和修改完善，完成部门专项资金绩效目标、预算项目目标的审核、汇总和上报工作。</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加强政务服务综合保障：一是聚焦储备安全核心职能，制定有关规章制度，强化内控管理，压实外部监督责任，提升储备粮监管效能。二是2020年起，国家对最低收购价小麦将实行限量收购，我局将提前制定工作预案，探索收购服务新模式，确保不发生“卖粮难”。三是按照国家考核方案，结合我省实际，进一步健全省对市考核机制，突出对重点和难点工作的考核，压紧压实市级政府粮食安全责任。四是在确保军粮供应的基础上，全力推动我省《实施方案》的落实，年底前，完成主副食集约化保障品种和供应商库省级平台建设。五是加强沟通协调，搞好工作对接，进一步理顺与省发改委、各市粮食和物资储备局的工作联系，建立全系统上下贯通、运转顺畅、保障有力的工作机制。六是开通启用我局新版电子政务办公系统，全面提高工作效率及办公信息化水平。七是完善重点事项督查督办机制，杜绝动作慢、跟不上的现象，做到不打折扣、不搞变通、不选择性落实，确保一抓到底，落实落地。</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3、完善制度建设：结合我局实际，在原有制度的基础上，修订完善河北省粮食和物资储备局预算绩效管理制度、专项资金管理办法、工作开展保障制度等，为确保实现年度绩效目标提供制度保障。</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4、加强支出管理：通过对预算资金支付的日常监督和管理，督促认真履行政府采购手续，及时启动项目建设，按时下达、支付项目资金，确保资金支付手续规范、进度达标。</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规范财务资产管理：修订完善财务管理制度，严格按照资金预算使用规定开支，规范财务审批程序，确保每笔资合规使用。同时，要加强固定资产管理，完善固定资产登记、使用和报废处置管理，做到支出合理，物尽其用。</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发挥内审作用，加强内部监督：对我局绩效运行情况、重大项目支出、资产处置及其他重要经济业务事项的决策和执行进行全程监督，实现审计全覆盖。并积极配合审计厅、财政监督等外部监督工作，确保财政资金安全有效。</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7、加强宣传培训调研等工作：加强干部职工预算资金使用方面的知识培训，提高干部职工业务素质；加强项目立项科学研究，提出优化财政资金配置，提高资金使用效益；加大宣传力度，强化预算绩效管理意识，促进预算绩效管理水平进一步提升。</w:t>
      </w:r>
    </w:p>
    <w:p>
      <w:pPr>
        <w:ind w:firstLine="642" w:firstLineChars="200"/>
        <w:jc w:val="left"/>
        <w:rPr>
          <w:rFonts w:ascii="仿宋" w:hAnsi="仿宋" w:eastAsia="仿宋" w:cs="仿宋"/>
          <w:b/>
          <w:sz w:val="32"/>
          <w:szCs w:val="32"/>
        </w:rPr>
      </w:pPr>
      <w:r>
        <w:rPr>
          <w:rFonts w:hint="eastAsia" w:ascii="仿宋" w:hAnsi="仿宋" w:eastAsia="仿宋" w:cs="仿宋"/>
          <w:b/>
          <w:sz w:val="32"/>
          <w:szCs w:val="32"/>
        </w:rPr>
        <w:t>第二部分 预算项目绩效目标:</w:t>
      </w:r>
    </w:p>
    <w:p>
      <w:pPr>
        <w:ind w:firstLine="640" w:firstLineChars="200"/>
        <w:jc w:val="left"/>
        <w:outlineLvl w:val="1"/>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0"/>
          <w:szCs w:val="30"/>
        </w:rPr>
        <w:t>河北省粮食产业集团产后服务中心建专项资金绩效目标表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8278" w:type="dxa"/>
            <w:tcBorders>
              <w:bottom w:val="nil"/>
            </w:tcBorders>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逐步提升粮产集团粮食产后服务保障能力，在服务我省“三农”经济，促进农业发展，带动农民增收方面更好发挥龙头企业作用</w:t>
            </w:r>
          </w:p>
        </w:tc>
      </w:tr>
    </w:tbl>
    <w:p>
      <w:pPr>
        <w:spacing w:line="14" w:lineRule="exact"/>
        <w:ind w:firstLine="420" w:firstLineChars="200"/>
        <w:jc w:val="center"/>
        <w:rPr>
          <w:rFonts w:ascii="仿宋" w:hAnsi="仿宋" w:eastAsia="仿宋" w:cs="仿宋"/>
        </w:rPr>
      </w:pPr>
      <w:r>
        <w:rPr>
          <w:rFonts w:hint="eastAsia" w:ascii="仿宋" w:hAnsi="仿宋" w:eastAsia="仿宋" w:cs="仿宋"/>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一级指标</w:t>
            </w:r>
          </w:p>
        </w:tc>
        <w:tc>
          <w:tcPr>
            <w:tcW w:w="1134"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二级指标</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三级指标</w:t>
            </w:r>
          </w:p>
        </w:tc>
        <w:tc>
          <w:tcPr>
            <w:tcW w:w="289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绩效指标描述</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w:t>
            </w:r>
          </w:p>
        </w:tc>
        <w:tc>
          <w:tcPr>
            <w:tcW w:w="170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产出指标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项目个数</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粮食产后服务中心项目建设个数</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≥8个</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省粮食和物资储备局、省财政厅文件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项目工程验收合格率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通过验收项目占被验收项目</w:t>
            </w:r>
            <w:bookmarkStart w:id="2" w:name="_GoBack"/>
            <w:bookmarkEnd w:id="2"/>
            <w:r>
              <w:rPr>
                <w:rFonts w:hint="eastAsia" w:ascii="仿宋" w:hAnsi="仿宋" w:eastAsia="仿宋" w:cs="仿宋"/>
              </w:rPr>
              <w:t>的比率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 xml:space="preserve">100% </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省粮食和物资储备局、省财政厅文件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项目按期完成率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按期完成的项目量占总项目量的比率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≥80%</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省粮食和物资储备局、省财政厅文件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bottom w:val="single" w:color="auto" w:sz="4" w:space="0"/>
            </w:tcBorders>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补助资金数量</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补助资金额度不大于748万元计划数</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 xml:space="preserve">≤100% </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省粮食和物资储备局、省财政厅文件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auto" w:sz="4" w:space="0"/>
            </w:tcBorders>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效果指标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业务保障能力</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新建、维修改造的设施、设备完好率得到提升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满意度指标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业务保障能力</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新建、维修改造的设施、设备完好率得到提升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bl>
    <w:p>
      <w:pPr>
        <w:ind w:firstLine="640" w:firstLineChars="200"/>
        <w:rPr>
          <w:rFonts w:ascii="仿宋" w:hAnsi="仿宋" w:eastAsia="仿宋" w:cs="仿宋"/>
          <w:b/>
          <w:sz w:val="32"/>
          <w:szCs w:val="32"/>
        </w:rPr>
      </w:pPr>
      <w:r>
        <w:rPr>
          <w:rFonts w:hint="eastAsia" w:ascii="仿宋" w:hAnsi="仿宋" w:eastAsia="仿宋" w:cs="仿宋"/>
          <w:sz w:val="32"/>
          <w:szCs w:val="32"/>
        </w:rPr>
        <w:t>2、</w:t>
      </w:r>
      <w:r>
        <w:rPr>
          <w:rFonts w:hint="eastAsia" w:ascii="仿宋" w:hAnsi="仿宋" w:eastAsia="仿宋" w:cs="仿宋"/>
          <w:b/>
          <w:sz w:val="30"/>
          <w:szCs w:val="30"/>
        </w:rPr>
        <w:t>省粮食产业集团仓储设施维修改造补助（简易建筑费）项目绩效目标表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8278" w:type="dxa"/>
            <w:tcBorders>
              <w:bottom w:val="nil"/>
            </w:tcBorders>
            <w:shd w:val="clear" w:color="auto" w:fill="auto"/>
            <w:vAlign w:val="center"/>
          </w:tcPr>
          <w:tbl>
            <w:tblPr>
              <w:tblStyle w:val="4"/>
              <w:tblW w:w="8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8" w:type="dxa"/>
                  <w:tcBorders>
                    <w:bottom w:val="nil"/>
                  </w:tcBorders>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1、逐步改善省粮食产业集团仓储基础设施状况，消除安全隐患，提升仓储设施保障能力。</w:t>
                  </w:r>
                </w:p>
              </w:tc>
            </w:tr>
          </w:tbl>
          <w:p>
            <w:pPr>
              <w:spacing w:line="300" w:lineRule="exact"/>
              <w:jc w:val="left"/>
              <w:rPr>
                <w:rFonts w:ascii="仿宋" w:hAnsi="仿宋" w:eastAsia="仿宋" w:cs="仿宋"/>
              </w:rPr>
            </w:pPr>
          </w:p>
        </w:tc>
      </w:tr>
    </w:tbl>
    <w:p>
      <w:pPr>
        <w:spacing w:line="14" w:lineRule="exact"/>
        <w:ind w:firstLine="420" w:firstLineChars="200"/>
        <w:jc w:val="center"/>
        <w:rPr>
          <w:rFonts w:ascii="仿宋" w:hAnsi="仿宋" w:eastAsia="仿宋" w:cs="仿宋"/>
        </w:rPr>
      </w:pPr>
      <w:r>
        <w:rPr>
          <w:rFonts w:hint="eastAsia" w:ascii="仿宋" w:hAnsi="仿宋" w:eastAsia="仿宋" w:cs="仿宋"/>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一级指标</w:t>
            </w:r>
          </w:p>
        </w:tc>
        <w:tc>
          <w:tcPr>
            <w:tcW w:w="1134"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二级指标</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三级指标</w:t>
            </w:r>
          </w:p>
        </w:tc>
        <w:tc>
          <w:tcPr>
            <w:tcW w:w="289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绩效指标描述</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w:t>
            </w:r>
          </w:p>
        </w:tc>
        <w:tc>
          <w:tcPr>
            <w:tcW w:w="170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产出指标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新建、维修改造设施和设备购置项目个数</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用于辖区内仓储设施建设、维修改造和购置设备项目个数</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≥1个</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工程验收合格率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通过验收的项目占被验收项目的比率</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spacing w:line="300" w:lineRule="exact"/>
              <w:jc w:val="left"/>
              <w:rPr>
                <w:rFonts w:ascii="仿宋" w:hAnsi="仿宋" w:eastAsia="仿宋" w:cs="仿宋"/>
              </w:rPr>
            </w:pP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项目按期完成率（%）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按期完成的项目量占总项目量的比率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 xml:space="preserve">≥0% </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 xml:space="preserve">省财政厅文件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资金到位数量</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实际投入项目建设资金数量与计划数的比例</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 xml:space="preserve">省财政厅文件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效果指标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隐患消除情况</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通过维护改造，消除安全隐患的项数</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≥2项</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满意度指标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受益企业满意度（%）</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受益企业调查中，满意和较满意的人数占全部调查企业的比率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 xml:space="preserve">≥80% </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bl>
    <w:p>
      <w:pPr>
        <w:jc w:val="center"/>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3、河北省粮食质量安全检验监测体系建设项目效目标表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8278" w:type="dxa"/>
            <w:tcBorders>
              <w:bottom w:val="nil"/>
            </w:tcBorders>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提高粮食质量安全监测检测能力，提升省级粮食质量检验监测体系建设水平。通过购置检验检测仪器设备，提高粮食质量安全监测检测能力，提升省级粮食质量检验监测体系建设水平</w:t>
            </w:r>
          </w:p>
        </w:tc>
      </w:tr>
    </w:tbl>
    <w:p>
      <w:pPr>
        <w:spacing w:line="14" w:lineRule="exact"/>
        <w:ind w:firstLine="420" w:firstLineChars="200"/>
        <w:jc w:val="center"/>
        <w:rPr>
          <w:rFonts w:ascii="仿宋" w:hAnsi="仿宋" w:eastAsia="仿宋" w:cs="仿宋"/>
        </w:rPr>
      </w:pPr>
      <w:r>
        <w:rPr>
          <w:rFonts w:hint="eastAsia" w:ascii="仿宋" w:hAnsi="仿宋" w:eastAsia="仿宋" w:cs="仿宋"/>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一级指标</w:t>
            </w:r>
          </w:p>
        </w:tc>
        <w:tc>
          <w:tcPr>
            <w:tcW w:w="1134"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二级指标</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三级指标</w:t>
            </w:r>
          </w:p>
        </w:tc>
        <w:tc>
          <w:tcPr>
            <w:tcW w:w="289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绩效指标描述</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w:t>
            </w:r>
          </w:p>
        </w:tc>
        <w:tc>
          <w:tcPr>
            <w:tcW w:w="170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出指标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仪器购置数量</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大米加工精度检测仪、大米外观品质检测仪、大米食味计、稻谷出米率检测仪、直链淀粉测定仪、万分之一电子天平2台、三重四极杆气相色谱质谱联用仪、气相色谱仪、顶空进样装置、气体发生器（氮气+空气+氢气）、快速研磨机、面筋测定仪、谷物近红外测定仪、面团拉伸仪等16台（套）仪器设备购置</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≥100完成购置百分比</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河北省粮食和物资储备局、河北省财政厅《关于实施“优质粮食工程”的通知》（冀粮仓储【2019】57号）文件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购置仪器质量合格率（%）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购置质量合格的数量占购置总数量的比率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≥100仪器设备合格率</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仪器设备采购方案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采购金额</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购置设备不能超过预算总金额</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≤441购置金额不得超过441万元</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河北省粮食和物资储备局、河北省财政厅《关于实施“优质粮食工程”的通知》（冀粮仓储【2019】57号）文件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采购金额</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购置设备不能超过预算总金额</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≤441购置金额不得超过441万元</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河北省粮食和物资储备局、河北省财政厅《关于实施“优质粮食工程”的通知》（冀粮仓储【2019】57号）文件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效果指标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检验检测能力</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提升“优质粮食”检测能力，增加标准适应性。</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明显提升</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河北省粮食和物资储备局、河北省财政厅《关于实施“优质粮食工程”的通知》（冀粮仓储【2019】57号）文件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满意度指标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主管部门对仪器购置采购的评价</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主管部门对仪器采购中的执行和验收情况评价。</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满意度≥95%</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验收报告评价</w:t>
            </w:r>
          </w:p>
        </w:tc>
      </w:tr>
    </w:tbl>
    <w:p>
      <w:pPr>
        <w:ind w:firstLine="560"/>
        <w:rPr>
          <w:rFonts w:ascii="仿宋" w:hAnsi="仿宋" w:eastAsia="仿宋" w:cs="仿宋"/>
          <w:sz w:val="32"/>
          <w:szCs w:val="32"/>
        </w:rPr>
      </w:pPr>
    </w:p>
    <w:p>
      <w:pPr>
        <w:ind w:firstLine="560"/>
        <w:rPr>
          <w:rFonts w:ascii="仿宋" w:hAnsi="仿宋" w:eastAsia="仿宋" w:cs="仿宋"/>
          <w:sz w:val="32"/>
          <w:szCs w:val="32"/>
        </w:rPr>
      </w:pPr>
    </w:p>
    <w:p>
      <w:pPr>
        <w:ind w:firstLine="560"/>
        <w:rPr>
          <w:rFonts w:ascii="仿宋" w:hAnsi="仿宋" w:eastAsia="仿宋" w:cs="仿宋"/>
          <w:sz w:val="32"/>
          <w:szCs w:val="32"/>
        </w:rPr>
      </w:pPr>
    </w:p>
    <w:p>
      <w:pPr>
        <w:ind w:firstLine="640" w:firstLineChars="200"/>
        <w:outlineLvl w:val="1"/>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0"/>
          <w:szCs w:val="30"/>
        </w:rPr>
        <w:t>省级储备粮油质量监测专项资金绩效目标表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8278" w:type="dxa"/>
            <w:tcBorders>
              <w:bottom w:val="nil"/>
            </w:tcBorders>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掌握轮出、轮入及正常储存省级储备粮油的质量指标，确保入库的省储粮油质量符合省下达的计划要求，销售出库流向市场的省储粮油质量安全，维护粮食消费的利益,确保储存的省级储备粮油数量真实、质量良好、储存安全。</w:t>
            </w:r>
          </w:p>
          <w:p>
            <w:pPr>
              <w:spacing w:line="300" w:lineRule="exact"/>
              <w:jc w:val="left"/>
              <w:rPr>
                <w:rFonts w:ascii="仿宋" w:hAnsi="仿宋" w:eastAsia="仿宋" w:cs="仿宋"/>
              </w:rPr>
            </w:pPr>
            <w:r>
              <w:rPr>
                <w:rFonts w:hint="eastAsia" w:ascii="仿宋" w:hAnsi="仿宋" w:eastAsia="仿宋" w:cs="仿宋"/>
              </w:rPr>
              <w:t>2、为粮食质量监管提供基础数据，确保省级储备粮油质量安全。</w:t>
            </w:r>
          </w:p>
        </w:tc>
      </w:tr>
    </w:tbl>
    <w:p>
      <w:pPr>
        <w:spacing w:line="14" w:lineRule="exact"/>
        <w:ind w:firstLine="420" w:firstLineChars="200"/>
        <w:jc w:val="center"/>
        <w:rPr>
          <w:rFonts w:ascii="仿宋" w:hAnsi="仿宋" w:eastAsia="仿宋" w:cs="仿宋"/>
        </w:rPr>
      </w:pPr>
      <w:r>
        <w:rPr>
          <w:rFonts w:hint="eastAsia" w:ascii="仿宋" w:hAnsi="仿宋" w:eastAsia="仿宋" w:cs="仿宋"/>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一级指标</w:t>
            </w:r>
          </w:p>
        </w:tc>
        <w:tc>
          <w:tcPr>
            <w:tcW w:w="1134"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二级指标</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三级指标</w:t>
            </w:r>
          </w:p>
        </w:tc>
        <w:tc>
          <w:tcPr>
            <w:tcW w:w="289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绩效指标描述</w:t>
            </w:r>
          </w:p>
        </w:tc>
        <w:tc>
          <w:tcPr>
            <w:tcW w:w="1276"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w:t>
            </w:r>
          </w:p>
        </w:tc>
        <w:tc>
          <w:tcPr>
            <w:tcW w:w="1701"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产出指标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项目个数</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粮食产后服务中心项目建设个数</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≥8个</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省粮食和物资储备局、省财政厅文件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检验数据完成率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对全部扦取样品按照相关国家标准进行检验。</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100检验项目完成率</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主管部门依据相关国家标准确定的全部检验项目。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监测报告出具数量</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按主管部门要求，完成全部检验项目，按扦样仓出具检验报告</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100监测报告出具数量与扦取样品数量百分比。</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按照出入库扦样仓，出具全部仓的检验报告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样品检验数据准确率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保证粮油质量检验数据准确</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100检验检测数据准确百分之百</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国家粮油检测相关标准。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完成样品检验任务及时率</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保证及时出具检验报告。</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≥95出具报告及时。</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仿宋"/>
              </w:rPr>
            </w:pPr>
          </w:p>
        </w:tc>
        <w:tc>
          <w:tcPr>
            <w:tcW w:w="1134" w:type="dxa"/>
            <w:tcBorders>
              <w:left w:val="single" w:color="auto" w:sz="4" w:space="0"/>
              <w:bottom w:val="single" w:color="auto" w:sz="4" w:space="0"/>
            </w:tcBorders>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完成下达任务费用</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项目费用不能超过总预算金额</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≤236不能超预算236万元</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auto" w:sz="4" w:space="0"/>
              <w:bottom w:val="single" w:color="auto" w:sz="4" w:space="0"/>
            </w:tcBorders>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效果指标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提供数据</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为监管部门提供质量评价数据采纳率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≥90采纳率≧90%</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河北省省级储备粮管理办法（冀政【2012】45号）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auto" w:sz="4" w:space="0"/>
            </w:tcBorders>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满意度指标</w:t>
            </w:r>
          </w:p>
        </w:tc>
        <w:tc>
          <w:tcPr>
            <w:tcW w:w="113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主管部门评价</w:t>
            </w:r>
          </w:p>
        </w:tc>
        <w:tc>
          <w:tcPr>
            <w:tcW w:w="28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对提供检验检测数据的满意度</w:t>
            </w:r>
          </w:p>
        </w:tc>
        <w:tc>
          <w:tcPr>
            <w:tcW w:w="12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≥95满意度≧95%</w:t>
            </w:r>
          </w:p>
        </w:tc>
        <w:tc>
          <w:tcPr>
            <w:tcW w:w="170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主管部门相关处室调查问卷</w:t>
            </w:r>
          </w:p>
        </w:tc>
      </w:tr>
      <w:bookmarkEnd w:id="1"/>
    </w:tbl>
    <w:p>
      <w:pPr>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 xml:space="preserve">六、政府采购预算情况 </w:t>
      </w:r>
    </w:p>
    <w:p>
      <w:pPr>
        <w:ind w:firstLine="640" w:firstLineChars="200"/>
        <w:outlineLvl w:val="0"/>
        <w:rPr>
          <w:rFonts w:ascii="仿宋" w:hAnsi="仿宋" w:eastAsia="仿宋" w:cs="仿宋"/>
          <w:sz w:val="32"/>
          <w:szCs w:val="24"/>
        </w:rPr>
      </w:pPr>
      <w:r>
        <w:rPr>
          <w:rFonts w:hint="eastAsia" w:ascii="仿宋" w:hAnsi="仿宋" w:eastAsia="仿宋" w:cs="仿宋"/>
          <w:sz w:val="32"/>
          <w:szCs w:val="24"/>
        </w:rPr>
        <w:t>2020年，我局安排政府采购预算586.55万元。具体内容见下表。</w:t>
      </w:r>
    </w:p>
    <w:p>
      <w:pPr>
        <w:jc w:val="center"/>
        <w:outlineLvl w:val="0"/>
        <w:rPr>
          <w:rFonts w:ascii="黑体" w:hAnsi="黑体" w:eastAsia="黑体" w:cs="黑体"/>
          <w:sz w:val="32"/>
          <w:szCs w:val="24"/>
        </w:rPr>
      </w:pPr>
      <w:r>
        <w:rPr>
          <w:rFonts w:hint="eastAsia" w:ascii="黑体" w:hAnsi="黑体" w:eastAsia="黑体" w:cs="黑体"/>
          <w:sz w:val="32"/>
          <w:szCs w:val="24"/>
        </w:rPr>
        <w:t>部门政府采购预算</w:t>
      </w:r>
      <w:bookmarkEnd w:id="0"/>
    </w:p>
    <w:tbl>
      <w:tblPr>
        <w:tblStyle w:val="4"/>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9"/>
        <w:gridCol w:w="1037"/>
        <w:gridCol w:w="919"/>
        <w:gridCol w:w="930"/>
        <w:gridCol w:w="718"/>
        <w:gridCol w:w="718"/>
        <w:gridCol w:w="800"/>
        <w:gridCol w:w="908"/>
        <w:gridCol w:w="908"/>
        <w:gridCol w:w="908"/>
        <w:gridCol w:w="908"/>
        <w:gridCol w:w="910"/>
        <w:gridCol w:w="910"/>
        <w:gridCol w:w="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43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部门编码 449    河北省粮食和物资储备局</w:t>
            </w:r>
          </w:p>
        </w:tc>
        <w:tc>
          <w:tcPr>
            <w:tcW w:w="632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46" w:type="dxa"/>
            <w:gridSpan w:val="2"/>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政府采购项目来源</w:t>
            </w:r>
          </w:p>
        </w:tc>
        <w:tc>
          <w:tcPr>
            <w:tcW w:w="919"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采购物品名称</w:t>
            </w:r>
          </w:p>
        </w:tc>
        <w:tc>
          <w:tcPr>
            <w:tcW w:w="930"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政府采购目录序号</w:t>
            </w:r>
          </w:p>
        </w:tc>
        <w:tc>
          <w:tcPr>
            <w:tcW w:w="718"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数量  单位</w:t>
            </w:r>
          </w:p>
        </w:tc>
        <w:tc>
          <w:tcPr>
            <w:tcW w:w="718"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数量</w:t>
            </w:r>
          </w:p>
        </w:tc>
        <w:tc>
          <w:tcPr>
            <w:tcW w:w="800"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单价</w:t>
            </w:r>
          </w:p>
        </w:tc>
        <w:tc>
          <w:tcPr>
            <w:tcW w:w="6321" w:type="dxa"/>
            <w:gridSpan w:val="7"/>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09"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项目名称</w:t>
            </w:r>
          </w:p>
        </w:tc>
        <w:tc>
          <w:tcPr>
            <w:tcW w:w="1037"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预算资金</w:t>
            </w:r>
          </w:p>
        </w:tc>
        <w:tc>
          <w:tcPr>
            <w:tcW w:w="919" w:type="dxa"/>
            <w:vMerge w:val="continue"/>
            <w:shd w:val="clear" w:color="auto" w:fill="auto"/>
            <w:vAlign w:val="center"/>
          </w:tcPr>
          <w:p>
            <w:pPr>
              <w:spacing w:line="300" w:lineRule="exact"/>
              <w:jc w:val="left"/>
              <w:outlineLvl w:val="0"/>
              <w:rPr>
                <w:rFonts w:ascii="仿宋" w:hAnsi="仿宋" w:eastAsia="仿宋" w:cs="仿宋"/>
              </w:rPr>
            </w:pPr>
          </w:p>
        </w:tc>
        <w:tc>
          <w:tcPr>
            <w:tcW w:w="930" w:type="dxa"/>
            <w:vMerge w:val="continue"/>
            <w:shd w:val="clear" w:color="auto" w:fill="auto"/>
            <w:vAlign w:val="center"/>
          </w:tcPr>
          <w:p>
            <w:pPr>
              <w:spacing w:line="300" w:lineRule="exact"/>
              <w:jc w:val="left"/>
              <w:outlineLvl w:val="0"/>
              <w:rPr>
                <w:rFonts w:ascii="仿宋" w:hAnsi="仿宋" w:eastAsia="仿宋" w:cs="仿宋"/>
              </w:rPr>
            </w:pPr>
          </w:p>
        </w:tc>
        <w:tc>
          <w:tcPr>
            <w:tcW w:w="718" w:type="dxa"/>
            <w:vMerge w:val="continue"/>
            <w:shd w:val="clear" w:color="auto" w:fill="auto"/>
            <w:vAlign w:val="center"/>
          </w:tcPr>
          <w:p>
            <w:pPr>
              <w:spacing w:line="300" w:lineRule="exact"/>
              <w:jc w:val="left"/>
              <w:outlineLvl w:val="0"/>
              <w:rPr>
                <w:rFonts w:ascii="仿宋" w:hAnsi="仿宋" w:eastAsia="仿宋" w:cs="仿宋"/>
              </w:rPr>
            </w:pPr>
          </w:p>
        </w:tc>
        <w:tc>
          <w:tcPr>
            <w:tcW w:w="718" w:type="dxa"/>
            <w:vMerge w:val="continue"/>
            <w:shd w:val="clear" w:color="auto" w:fill="auto"/>
            <w:vAlign w:val="center"/>
          </w:tcPr>
          <w:p>
            <w:pPr>
              <w:spacing w:line="300" w:lineRule="exact"/>
              <w:jc w:val="left"/>
              <w:outlineLvl w:val="0"/>
              <w:rPr>
                <w:rFonts w:ascii="仿宋" w:hAnsi="仿宋" w:eastAsia="仿宋" w:cs="仿宋"/>
              </w:rPr>
            </w:pPr>
          </w:p>
        </w:tc>
        <w:tc>
          <w:tcPr>
            <w:tcW w:w="800" w:type="dxa"/>
            <w:vMerge w:val="continue"/>
            <w:shd w:val="clear" w:color="auto" w:fill="auto"/>
            <w:vAlign w:val="center"/>
          </w:tcPr>
          <w:p>
            <w:pPr>
              <w:spacing w:line="300" w:lineRule="exact"/>
              <w:jc w:val="left"/>
              <w:outlineLvl w:val="0"/>
              <w:rPr>
                <w:rFonts w:ascii="仿宋" w:hAnsi="仿宋" w:eastAsia="仿宋" w:cs="仿宋"/>
              </w:rPr>
            </w:pPr>
          </w:p>
        </w:tc>
        <w:tc>
          <w:tcPr>
            <w:tcW w:w="908"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总计</w:t>
            </w:r>
          </w:p>
        </w:tc>
        <w:tc>
          <w:tcPr>
            <w:tcW w:w="4544" w:type="dxa"/>
            <w:gridSpan w:val="5"/>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当年部门预算安排资金</w:t>
            </w:r>
          </w:p>
        </w:tc>
        <w:tc>
          <w:tcPr>
            <w:tcW w:w="869" w:type="dxa"/>
            <w:vMerge w:val="restart"/>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tblHeader/>
          <w:jc w:val="center"/>
        </w:trPr>
        <w:tc>
          <w:tcPr>
            <w:tcW w:w="2309" w:type="dxa"/>
            <w:vMerge w:val="continue"/>
            <w:shd w:val="clear" w:color="auto" w:fill="auto"/>
            <w:vAlign w:val="center"/>
          </w:tcPr>
          <w:p>
            <w:pPr>
              <w:spacing w:line="300" w:lineRule="exact"/>
              <w:jc w:val="left"/>
              <w:outlineLvl w:val="0"/>
              <w:rPr>
                <w:rFonts w:ascii="仿宋" w:hAnsi="仿宋" w:eastAsia="仿宋" w:cs="仿宋"/>
              </w:rPr>
            </w:pPr>
          </w:p>
        </w:tc>
        <w:tc>
          <w:tcPr>
            <w:tcW w:w="1037" w:type="dxa"/>
            <w:vMerge w:val="continue"/>
            <w:shd w:val="clear" w:color="auto" w:fill="auto"/>
            <w:vAlign w:val="center"/>
          </w:tcPr>
          <w:p>
            <w:pPr>
              <w:spacing w:line="300" w:lineRule="exact"/>
              <w:jc w:val="left"/>
              <w:outlineLvl w:val="0"/>
              <w:rPr>
                <w:rFonts w:ascii="仿宋" w:hAnsi="仿宋" w:eastAsia="仿宋" w:cs="仿宋"/>
              </w:rPr>
            </w:pPr>
          </w:p>
        </w:tc>
        <w:tc>
          <w:tcPr>
            <w:tcW w:w="919" w:type="dxa"/>
            <w:vMerge w:val="continue"/>
            <w:shd w:val="clear" w:color="auto" w:fill="auto"/>
            <w:vAlign w:val="center"/>
          </w:tcPr>
          <w:p>
            <w:pPr>
              <w:spacing w:line="300" w:lineRule="exact"/>
              <w:jc w:val="left"/>
              <w:outlineLvl w:val="0"/>
              <w:rPr>
                <w:rFonts w:ascii="仿宋" w:hAnsi="仿宋" w:eastAsia="仿宋" w:cs="仿宋"/>
              </w:rPr>
            </w:pPr>
          </w:p>
        </w:tc>
        <w:tc>
          <w:tcPr>
            <w:tcW w:w="930" w:type="dxa"/>
            <w:vMerge w:val="continue"/>
            <w:shd w:val="clear" w:color="auto" w:fill="auto"/>
            <w:vAlign w:val="center"/>
          </w:tcPr>
          <w:p>
            <w:pPr>
              <w:spacing w:line="300" w:lineRule="exact"/>
              <w:jc w:val="left"/>
              <w:outlineLvl w:val="0"/>
              <w:rPr>
                <w:rFonts w:ascii="仿宋" w:hAnsi="仿宋" w:eastAsia="仿宋" w:cs="仿宋"/>
              </w:rPr>
            </w:pPr>
          </w:p>
        </w:tc>
        <w:tc>
          <w:tcPr>
            <w:tcW w:w="718" w:type="dxa"/>
            <w:vMerge w:val="continue"/>
            <w:shd w:val="clear" w:color="auto" w:fill="auto"/>
            <w:vAlign w:val="center"/>
          </w:tcPr>
          <w:p>
            <w:pPr>
              <w:spacing w:line="300" w:lineRule="exact"/>
              <w:jc w:val="left"/>
              <w:outlineLvl w:val="0"/>
              <w:rPr>
                <w:rFonts w:ascii="仿宋" w:hAnsi="仿宋" w:eastAsia="仿宋" w:cs="仿宋"/>
              </w:rPr>
            </w:pPr>
          </w:p>
        </w:tc>
        <w:tc>
          <w:tcPr>
            <w:tcW w:w="718" w:type="dxa"/>
            <w:vMerge w:val="continue"/>
            <w:shd w:val="clear" w:color="auto" w:fill="auto"/>
            <w:vAlign w:val="center"/>
          </w:tcPr>
          <w:p>
            <w:pPr>
              <w:spacing w:line="300" w:lineRule="exact"/>
              <w:jc w:val="left"/>
              <w:outlineLvl w:val="0"/>
              <w:rPr>
                <w:rFonts w:ascii="仿宋" w:hAnsi="仿宋" w:eastAsia="仿宋" w:cs="仿宋"/>
              </w:rPr>
            </w:pPr>
          </w:p>
        </w:tc>
        <w:tc>
          <w:tcPr>
            <w:tcW w:w="800" w:type="dxa"/>
            <w:vMerge w:val="continue"/>
            <w:shd w:val="clear" w:color="auto" w:fill="auto"/>
            <w:vAlign w:val="center"/>
          </w:tcPr>
          <w:p>
            <w:pPr>
              <w:spacing w:line="300" w:lineRule="exact"/>
              <w:jc w:val="left"/>
              <w:outlineLvl w:val="0"/>
              <w:rPr>
                <w:rFonts w:ascii="仿宋" w:hAnsi="仿宋" w:eastAsia="仿宋" w:cs="仿宋"/>
              </w:rPr>
            </w:pPr>
          </w:p>
        </w:tc>
        <w:tc>
          <w:tcPr>
            <w:tcW w:w="908" w:type="dxa"/>
            <w:vMerge w:val="continue"/>
            <w:shd w:val="clear" w:color="auto" w:fill="auto"/>
            <w:vAlign w:val="center"/>
          </w:tcPr>
          <w:p>
            <w:pPr>
              <w:spacing w:line="300" w:lineRule="exact"/>
              <w:jc w:val="left"/>
              <w:outlineLvl w:val="0"/>
              <w:rPr>
                <w:rFonts w:ascii="仿宋" w:hAnsi="仿宋" w:eastAsia="仿宋" w:cs="仿宋"/>
              </w:rPr>
            </w:pPr>
          </w:p>
        </w:tc>
        <w:tc>
          <w:tcPr>
            <w:tcW w:w="908"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合计</w:t>
            </w:r>
          </w:p>
        </w:tc>
        <w:tc>
          <w:tcPr>
            <w:tcW w:w="908"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一般公共预算拨款</w:t>
            </w:r>
          </w:p>
        </w:tc>
        <w:tc>
          <w:tcPr>
            <w:tcW w:w="908"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基金预算拨款</w:t>
            </w:r>
          </w:p>
        </w:tc>
        <w:tc>
          <w:tcPr>
            <w:tcW w:w="910"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财政专户核拨</w:t>
            </w:r>
          </w:p>
        </w:tc>
        <w:tc>
          <w:tcPr>
            <w:tcW w:w="910"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其他来源收入</w:t>
            </w:r>
          </w:p>
        </w:tc>
        <w:tc>
          <w:tcPr>
            <w:tcW w:w="869" w:type="dxa"/>
            <w:vMerge w:val="continue"/>
            <w:shd w:val="clear" w:color="auto" w:fill="auto"/>
            <w:vAlign w:val="center"/>
          </w:tcPr>
          <w:p>
            <w:pPr>
              <w:spacing w:line="300" w:lineRule="exact"/>
              <w:jc w:val="left"/>
              <w:outlineLvl w:val="0"/>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合　计</w:t>
            </w:r>
          </w:p>
        </w:tc>
        <w:tc>
          <w:tcPr>
            <w:tcW w:w="1037"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571.18</w:t>
            </w:r>
          </w:p>
        </w:tc>
        <w:tc>
          <w:tcPr>
            <w:tcW w:w="919" w:type="dxa"/>
            <w:shd w:val="clear" w:color="auto" w:fill="auto"/>
            <w:vAlign w:val="center"/>
          </w:tcPr>
          <w:p>
            <w:pPr>
              <w:spacing w:line="300" w:lineRule="exact"/>
              <w:jc w:val="left"/>
              <w:rPr>
                <w:rFonts w:ascii="仿宋" w:hAnsi="仿宋" w:eastAsia="仿宋" w:cs="仿宋"/>
                <w:b/>
              </w:rPr>
            </w:pPr>
          </w:p>
        </w:tc>
        <w:tc>
          <w:tcPr>
            <w:tcW w:w="930" w:type="dxa"/>
            <w:shd w:val="clear" w:color="auto" w:fill="auto"/>
            <w:vAlign w:val="center"/>
          </w:tcPr>
          <w:p>
            <w:pPr>
              <w:spacing w:line="300" w:lineRule="exact"/>
              <w:jc w:val="left"/>
              <w:rPr>
                <w:rFonts w:ascii="仿宋" w:hAnsi="仿宋" w:eastAsia="仿宋" w:cs="仿宋"/>
                <w:b/>
              </w:rPr>
            </w:pPr>
          </w:p>
        </w:tc>
        <w:tc>
          <w:tcPr>
            <w:tcW w:w="718" w:type="dxa"/>
            <w:shd w:val="clear" w:color="auto" w:fill="auto"/>
            <w:vAlign w:val="center"/>
          </w:tcPr>
          <w:p>
            <w:pPr>
              <w:spacing w:line="300" w:lineRule="exact"/>
              <w:jc w:val="left"/>
              <w:rPr>
                <w:rFonts w:ascii="仿宋" w:hAnsi="仿宋" w:eastAsia="仿宋" w:cs="仿宋"/>
                <w:b/>
              </w:rPr>
            </w:pPr>
          </w:p>
        </w:tc>
        <w:tc>
          <w:tcPr>
            <w:tcW w:w="718" w:type="dxa"/>
            <w:shd w:val="clear" w:color="auto" w:fill="auto"/>
            <w:vAlign w:val="center"/>
          </w:tcPr>
          <w:p>
            <w:pPr>
              <w:spacing w:line="300" w:lineRule="exact"/>
              <w:jc w:val="right"/>
              <w:rPr>
                <w:rFonts w:ascii="仿宋" w:hAnsi="仿宋" w:eastAsia="仿宋" w:cs="仿宋"/>
                <w:b/>
              </w:rPr>
            </w:pPr>
          </w:p>
        </w:tc>
        <w:tc>
          <w:tcPr>
            <w:tcW w:w="800"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586.55</w:t>
            </w:r>
          </w:p>
        </w:tc>
        <w:tc>
          <w:tcPr>
            <w:tcW w:w="908"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586.55</w:t>
            </w:r>
          </w:p>
        </w:tc>
        <w:tc>
          <w:tcPr>
            <w:tcW w:w="908"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571.18</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15.37</w:t>
            </w: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车辆维修和保养服务</w:t>
            </w:r>
          </w:p>
        </w:tc>
        <w:tc>
          <w:tcPr>
            <w:tcW w:w="930"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C050301</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10.00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10.00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10.00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4.25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其他印刷品</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A080299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4.25</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4.25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4.25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4.25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5.00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台式计算机</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A02010104</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5.00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5.00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5.00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0.80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传真通信设备</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A02081001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0.16</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5.00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0.80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0.80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0.80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鼓粉盒</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A090201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7.55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一般会议服务</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C060102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7.55</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7.55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7.55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7.55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2.00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多功能一体机</w:t>
            </w:r>
          </w:p>
        </w:tc>
        <w:tc>
          <w:tcPr>
            <w:tcW w:w="930"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A020204</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0.20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2.00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粉盒</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A090202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2.94</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车辆维修和保养服务</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C050301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2.94</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2.94</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2.94</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2.94</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1.30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喷墨打印机</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A0201060101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0.65</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1.30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1.30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1.30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喷墨打印机</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A0201060101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3.00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复印纸</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3.00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3.00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1.20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扫描仪</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A0201060901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0.40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1.20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7.35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一般会议服务</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C060102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7.35</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7.35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7.35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7.35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1.20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传真通信设备</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A02081001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部</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1.20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木骨架为主的椅凳类</w:t>
            </w:r>
          </w:p>
        </w:tc>
        <w:tc>
          <w:tcPr>
            <w:tcW w:w="930"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A060302</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把</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0.05</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1.80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木骨架为主的椅凳类</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A060302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把</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0.06</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30.00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1.80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1.80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1.80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木骨架为主的椅凳类</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A060302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套</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0.25</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0.60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木质柜类</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A060501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个</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6.00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0.60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空调机</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A0206180203</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0.60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3.00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空调机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A0206180203</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碎纸机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A02021101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0.48</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其他柜类</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A060599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个</w:t>
            </w:r>
          </w:p>
        </w:tc>
        <w:tc>
          <w:tcPr>
            <w:tcW w:w="718" w:type="dxa"/>
            <w:shd w:val="clear" w:color="auto" w:fill="auto"/>
            <w:vAlign w:val="center"/>
          </w:tcPr>
          <w:p>
            <w:pPr>
              <w:widowControl/>
              <w:jc w:val="righ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0.16</w:t>
            </w:r>
          </w:p>
        </w:tc>
        <w:tc>
          <w:tcPr>
            <w:tcW w:w="800" w:type="dxa"/>
            <w:shd w:val="clear" w:color="auto" w:fill="auto"/>
            <w:vAlign w:val="center"/>
          </w:tcPr>
          <w:p>
            <w:pPr>
              <w:widowControl/>
              <w:jc w:val="righ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0.48</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0.48</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0.48</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0.84</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木制床类</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A060104</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个</w:t>
            </w:r>
          </w:p>
        </w:tc>
        <w:tc>
          <w:tcPr>
            <w:tcW w:w="718" w:type="dxa"/>
            <w:shd w:val="clear" w:color="auto" w:fill="auto"/>
            <w:vAlign w:val="center"/>
          </w:tcPr>
          <w:p>
            <w:pPr>
              <w:widowControl/>
              <w:jc w:val="righ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0.28</w:t>
            </w:r>
          </w:p>
        </w:tc>
        <w:tc>
          <w:tcPr>
            <w:tcW w:w="800" w:type="dxa"/>
            <w:shd w:val="clear" w:color="auto" w:fill="auto"/>
            <w:vAlign w:val="center"/>
          </w:tcPr>
          <w:p>
            <w:pPr>
              <w:widowControl/>
              <w:jc w:val="righ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0.84</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0.84</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0.84</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移动存储设备</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A02010508</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单证</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A080201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本册</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A080203</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8.75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其他印刷品</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A080299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8.75</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8.75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8.75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8.75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4.00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鼓粉盒</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A090201</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4.00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4.00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0.75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文具</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A090401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0.75</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0.75</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笔</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A090402</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0.75</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0.75</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7" w:hRule="atLeast"/>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卫生用纸制品</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A090501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8" w:hRule="atLeast"/>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消毒杀菌用品</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A090502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其他清洁用具</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A090599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基础电信服务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C030101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其他电信和信息传输服务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C0399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互联网信息服务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C0302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5.00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车辆加油服务</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C050302</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5.00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5.00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5.00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大型会议服务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C060101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5.00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6.00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一般会议服务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C060102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6.00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6.00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6.00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6.00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书籍、课本</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A05010101</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日刊</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A05010401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周刊</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A05010402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月刊</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A05010403</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0.50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其他普通期刊</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A05010499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b/>
            </w:r>
            <w:r>
              <w:rPr>
                <w:rFonts w:hint="eastAsia" w:ascii="仿宋" w:hAnsi="仿宋" w:eastAsia="仿宋" w:cs="仿宋"/>
                <w:color w:val="000000"/>
                <w:kern w:val="0"/>
                <w:sz w:val="18"/>
                <w:szCs w:val="18"/>
                <w:lang w:bidi="ar"/>
              </w:rPr>
              <w:t>1.50</w:t>
            </w:r>
          </w:p>
          <w:p>
            <w:pPr>
              <w:widowControl/>
              <w:jc w:val="right"/>
              <w:textAlignment w:val="center"/>
              <w:rPr>
                <w:rFonts w:ascii="仿宋" w:hAnsi="仿宋" w:eastAsia="仿宋" w:cs="仿宋"/>
                <w:color w:val="000000"/>
                <w:kern w:val="0"/>
                <w:sz w:val="18"/>
                <w:szCs w:val="18"/>
                <w:lang w:bidi="ar"/>
              </w:rPr>
            </w:pPr>
          </w:p>
        </w:tc>
        <w:tc>
          <w:tcPr>
            <w:tcW w:w="800" w:type="dxa"/>
            <w:shd w:val="clear" w:color="auto" w:fill="auto"/>
            <w:vAlign w:val="center"/>
          </w:tcPr>
          <w:p>
            <w:pPr>
              <w:widowControl/>
              <w:jc w:val="righ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0.2</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其他纸制品</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A090199</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箱</w:t>
            </w:r>
          </w:p>
        </w:tc>
        <w:tc>
          <w:tcPr>
            <w:tcW w:w="718"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10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b/>
              </w:rPr>
              <w:t>0.02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0.4</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扫描仪</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A0201060901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1</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rPr>
              <w:t>0.40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0.25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激光打印机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A0201060102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1</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rPr>
              <w:t>0.25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0.25</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0.2</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碎纸机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A02021101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2</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rPr>
              <w:t>0.1</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23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0.2</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空气净化设备</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A0206180205</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1</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rPr>
              <w:t>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0.2</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复印纸</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A090101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复印纸</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A090101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441.00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食品检测、监测设备</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A031211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15.00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29.40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441.00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441.00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441.00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2.00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其他办公消耗用品及类似物品</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A0999</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1.87</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其他文教用品</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A090499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1.87</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1.87</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1.87</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1.57</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2.20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其他印刷品</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A080299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2.20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2.20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2.20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2.20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其他印刷品</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A080299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2.00</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0.60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车辆维修和保养服务</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C050301</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0.60</w:t>
            </w: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3.00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车辆加油服务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C050302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吨</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3.00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车辆维修和保养服务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C050301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0.77</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办公设备维修和保养服务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C0502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0.77</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0.77</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0.77</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0.77</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复印机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A020201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2.10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一般会议服务</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C060102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2.10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2.10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2.10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2.10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专用照相机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A0202050104</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部</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1.5</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项目支出</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其他打印设备</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A0201060199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0.40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多功能一体机</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A020204</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2.00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0.20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0.40</w:t>
            </w:r>
          </w:p>
        </w:tc>
        <w:tc>
          <w:tcPr>
            <w:tcW w:w="908" w:type="dxa"/>
            <w:shd w:val="clear" w:color="auto" w:fill="auto"/>
            <w:vAlign w:val="center"/>
          </w:tcPr>
          <w:p>
            <w:pPr>
              <w:widowControl/>
              <w:jc w:val="right"/>
              <w:textAlignment w:val="center"/>
              <w:rPr>
                <w:rFonts w:ascii="仿宋" w:hAnsi="仿宋" w:eastAsia="仿宋" w:cs="仿宋"/>
                <w:color w:val="0000FF"/>
                <w:kern w:val="0"/>
                <w:sz w:val="18"/>
                <w:szCs w:val="18"/>
                <w:lang w:bidi="ar"/>
              </w:rPr>
            </w:pP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0.4</w:t>
            </w: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1.80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便携式计算机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A02010105</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3.00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1.80</w:t>
            </w:r>
          </w:p>
        </w:tc>
        <w:tc>
          <w:tcPr>
            <w:tcW w:w="908" w:type="dxa"/>
            <w:shd w:val="clear" w:color="auto" w:fill="auto"/>
            <w:vAlign w:val="center"/>
          </w:tcPr>
          <w:p>
            <w:pPr>
              <w:widowControl/>
              <w:jc w:val="right"/>
              <w:textAlignment w:val="center"/>
              <w:rPr>
                <w:rFonts w:ascii="仿宋" w:hAnsi="仿宋" w:eastAsia="仿宋" w:cs="仿宋"/>
                <w:color w:val="0000FF"/>
                <w:kern w:val="0"/>
                <w:sz w:val="18"/>
                <w:szCs w:val="18"/>
                <w:lang w:bidi="ar"/>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1.8</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4.00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台式计算机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A02010104</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8.00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4.00</w:t>
            </w:r>
          </w:p>
        </w:tc>
        <w:tc>
          <w:tcPr>
            <w:tcW w:w="908" w:type="dxa"/>
            <w:shd w:val="clear" w:color="auto" w:fill="auto"/>
            <w:vAlign w:val="center"/>
          </w:tcPr>
          <w:p>
            <w:pPr>
              <w:widowControl/>
              <w:jc w:val="right"/>
              <w:textAlignment w:val="center"/>
              <w:rPr>
                <w:rFonts w:ascii="仿宋" w:hAnsi="仿宋" w:eastAsia="仿宋" w:cs="仿宋"/>
                <w:color w:val="0000FF"/>
                <w:kern w:val="0"/>
                <w:sz w:val="18"/>
                <w:szCs w:val="18"/>
                <w:lang w:bidi="ar"/>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4</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空调机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A0206180203</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color w:val="0000FF"/>
                <w:kern w:val="0"/>
                <w:sz w:val="18"/>
                <w:szCs w:val="18"/>
                <w:lang w:bidi="ar"/>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0.3</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1.60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空调机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A0206180203</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0.40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1.60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1.60</w:t>
            </w:r>
          </w:p>
        </w:tc>
        <w:tc>
          <w:tcPr>
            <w:tcW w:w="908" w:type="dxa"/>
            <w:shd w:val="clear" w:color="auto" w:fill="auto"/>
            <w:vAlign w:val="center"/>
          </w:tcPr>
          <w:p>
            <w:pPr>
              <w:widowControl/>
              <w:jc w:val="right"/>
              <w:textAlignment w:val="center"/>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1.6</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空调机</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A0206180203</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0.5</w:t>
            </w: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普通电视设备（电视机）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A02091001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0.30</w:t>
            </w:r>
          </w:p>
        </w:tc>
        <w:tc>
          <w:tcPr>
            <w:tcW w:w="908" w:type="dxa"/>
            <w:shd w:val="clear" w:color="auto" w:fill="auto"/>
            <w:vAlign w:val="center"/>
          </w:tcPr>
          <w:p>
            <w:pPr>
              <w:widowControl/>
              <w:jc w:val="right"/>
              <w:textAlignment w:val="center"/>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0.3</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1.20</w:t>
            </w:r>
          </w:p>
        </w:tc>
        <w:tc>
          <w:tcPr>
            <w:tcW w:w="919"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空气净化设备</w:t>
            </w:r>
          </w:p>
        </w:tc>
        <w:tc>
          <w:tcPr>
            <w:tcW w:w="930"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color w:val="000000"/>
                <w:kern w:val="0"/>
                <w:sz w:val="18"/>
                <w:szCs w:val="18"/>
                <w:lang w:bidi="ar"/>
              </w:rPr>
              <w:t>A0206180205</w:t>
            </w:r>
          </w:p>
        </w:tc>
        <w:tc>
          <w:tcPr>
            <w:tcW w:w="718" w:type="dxa"/>
            <w:shd w:val="clear" w:color="auto" w:fill="auto"/>
            <w:vAlign w:val="center"/>
          </w:tcPr>
          <w:p>
            <w:pPr>
              <w:widowControl/>
              <w:jc w:val="left"/>
              <w:textAlignment w:val="center"/>
              <w:rPr>
                <w:rFonts w:ascii="仿宋" w:hAnsi="仿宋" w:eastAsia="仿宋" w:cs="仿宋"/>
                <w:b/>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2.00</w:t>
            </w:r>
          </w:p>
        </w:tc>
        <w:tc>
          <w:tcPr>
            <w:tcW w:w="800"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color w:val="000000"/>
                <w:kern w:val="0"/>
                <w:sz w:val="18"/>
                <w:szCs w:val="18"/>
                <w:lang w:bidi="ar"/>
              </w:rPr>
              <w:t>0.60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1.20</w:t>
            </w:r>
          </w:p>
        </w:tc>
        <w:tc>
          <w:tcPr>
            <w:tcW w:w="908" w:type="dxa"/>
            <w:shd w:val="clear" w:color="auto" w:fill="auto"/>
            <w:vAlign w:val="center"/>
          </w:tcPr>
          <w:p>
            <w:pPr>
              <w:widowControl/>
              <w:jc w:val="right"/>
              <w:textAlignment w:val="center"/>
              <w:rPr>
                <w:rFonts w:ascii="仿宋" w:hAnsi="仿宋" w:eastAsia="仿宋" w:cs="仿宋"/>
                <w:b/>
              </w:rPr>
            </w:pPr>
            <w:r>
              <w:rPr>
                <w:rFonts w:hint="eastAsia" w:ascii="仿宋" w:hAnsi="仿宋" w:eastAsia="仿宋" w:cs="仿宋"/>
                <w:kern w:val="0"/>
                <w:sz w:val="18"/>
                <w:szCs w:val="18"/>
                <w:lang w:bidi="ar"/>
              </w:rPr>
              <w:t>1.20</w:t>
            </w:r>
          </w:p>
        </w:tc>
        <w:tc>
          <w:tcPr>
            <w:tcW w:w="908" w:type="dxa"/>
            <w:shd w:val="clear" w:color="auto" w:fill="auto"/>
            <w:vAlign w:val="center"/>
          </w:tcPr>
          <w:p>
            <w:pPr>
              <w:widowControl/>
              <w:jc w:val="center"/>
              <w:textAlignment w:val="center"/>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r>
              <w:rPr>
                <w:rFonts w:hint="eastAsia" w:ascii="仿宋" w:hAnsi="仿宋" w:eastAsia="仿宋" w:cs="仿宋"/>
                <w:b/>
              </w:rPr>
              <w:t>1.2</w:t>
            </w: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0.20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碎纸机</w:t>
            </w:r>
          </w:p>
        </w:tc>
        <w:tc>
          <w:tcPr>
            <w:tcW w:w="93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color w:val="000000"/>
                <w:kern w:val="0"/>
                <w:sz w:val="18"/>
                <w:szCs w:val="18"/>
                <w:lang w:bidi="ar"/>
              </w:rPr>
              <w:t>A02021101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0.20</w:t>
            </w:r>
          </w:p>
        </w:tc>
        <w:tc>
          <w:tcPr>
            <w:tcW w:w="908" w:type="dxa"/>
            <w:shd w:val="clear" w:color="auto" w:fill="auto"/>
            <w:vAlign w:val="center"/>
          </w:tcPr>
          <w:p>
            <w:pPr>
              <w:widowControl/>
              <w:jc w:val="center"/>
              <w:textAlignment w:val="center"/>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0.2</w:t>
            </w: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2.00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台式计算机</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A02010104</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4.00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激光打印机</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A0201060102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台</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0.10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木质柜类</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A060501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个</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0.50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木制台、桌类</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A060205</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套</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2.00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0.25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0.50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0.45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复印纸</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个</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0.45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0.45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0.45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0.45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0.20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书籍、课本</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A05010101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0.20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0.20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0.35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其他办公消耗用品及类似物品</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0.35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kern w:val="0"/>
                <w:sz w:val="18"/>
                <w:szCs w:val="18"/>
                <w:lang w:bidi="ar"/>
              </w:rPr>
              <w:t>1.00</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车辆加油服务</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C050302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年</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0.1</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复印纸</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A090101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0.10</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spacing w:line="300" w:lineRule="exact"/>
              <w:jc w:val="right"/>
              <w:rPr>
                <w:rFonts w:ascii="仿宋" w:hAnsi="仿宋" w:eastAsia="仿宋" w:cs="仿宋"/>
              </w:rPr>
            </w:pPr>
            <w:r>
              <w:rPr>
                <w:rFonts w:hint="eastAsia" w:ascii="仿宋" w:hAnsi="仿宋" w:eastAsia="仿宋" w:cs="仿宋"/>
              </w:rPr>
              <w:t>0.02</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笔</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A090402</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0.02</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0.02</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0.02</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0.02</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0.03</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其他纸制品</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A090199</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0.03</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0.03</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0.03</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0.03</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日常公用</w:t>
            </w:r>
          </w:p>
        </w:tc>
        <w:tc>
          <w:tcPr>
            <w:tcW w:w="1037"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0.15</w:t>
            </w:r>
          </w:p>
        </w:tc>
        <w:tc>
          <w:tcPr>
            <w:tcW w:w="919"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鼓粉盒</w:t>
            </w:r>
          </w:p>
        </w:tc>
        <w:tc>
          <w:tcPr>
            <w:tcW w:w="930"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A090201</w:t>
            </w:r>
          </w:p>
        </w:tc>
        <w:tc>
          <w:tcPr>
            <w:tcW w:w="718" w:type="dxa"/>
            <w:shd w:val="clear" w:color="auto" w:fill="auto"/>
            <w:vAlign w:val="center"/>
          </w:tcPr>
          <w:p>
            <w:pPr>
              <w:widowControl/>
              <w:jc w:val="left"/>
              <w:textAlignment w:val="center"/>
              <w:rPr>
                <w:rFonts w:ascii="仿宋" w:hAnsi="仿宋" w:eastAsia="仿宋" w:cs="仿宋"/>
              </w:rPr>
            </w:pPr>
            <w:r>
              <w:rPr>
                <w:rFonts w:hint="eastAsia" w:ascii="仿宋" w:hAnsi="仿宋" w:eastAsia="仿宋" w:cs="仿宋"/>
                <w:color w:val="000000"/>
                <w:kern w:val="0"/>
                <w:sz w:val="18"/>
                <w:szCs w:val="18"/>
                <w:lang w:bidi="ar"/>
              </w:rPr>
              <w:t>批</w:t>
            </w:r>
          </w:p>
        </w:tc>
        <w:tc>
          <w:tcPr>
            <w:tcW w:w="71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1.00</w:t>
            </w:r>
          </w:p>
        </w:tc>
        <w:tc>
          <w:tcPr>
            <w:tcW w:w="800"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0.15</w:t>
            </w:r>
          </w:p>
        </w:tc>
        <w:tc>
          <w:tcPr>
            <w:tcW w:w="908" w:type="dxa"/>
            <w:shd w:val="clear" w:color="auto" w:fill="auto"/>
            <w:vAlign w:val="center"/>
          </w:tcPr>
          <w:p>
            <w:pPr>
              <w:widowControl/>
              <w:jc w:val="right"/>
              <w:textAlignment w:val="center"/>
              <w:rPr>
                <w:rFonts w:ascii="仿宋" w:hAnsi="仿宋" w:eastAsia="仿宋" w:cs="仿宋"/>
              </w:rPr>
            </w:pPr>
            <w:r>
              <w:rPr>
                <w:rFonts w:hint="eastAsia" w:ascii="仿宋" w:hAnsi="仿宋" w:eastAsia="仿宋" w:cs="仿宋"/>
                <w:color w:val="000000"/>
                <w:kern w:val="0"/>
                <w:sz w:val="18"/>
                <w:szCs w:val="18"/>
                <w:lang w:bidi="ar"/>
              </w:rPr>
              <w:t>0.15</w:t>
            </w: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center"/>
              <w:rPr>
                <w:rFonts w:ascii="仿宋" w:hAnsi="仿宋" w:eastAsia="仿宋" w:cs="仿宋"/>
                <w:b/>
              </w:rPr>
            </w:pPr>
          </w:p>
        </w:tc>
        <w:tc>
          <w:tcPr>
            <w:tcW w:w="1037" w:type="dxa"/>
            <w:shd w:val="clear" w:color="auto" w:fill="auto"/>
            <w:vAlign w:val="center"/>
          </w:tcPr>
          <w:p>
            <w:pPr>
              <w:spacing w:line="300" w:lineRule="exact"/>
              <w:jc w:val="right"/>
              <w:rPr>
                <w:rFonts w:ascii="仿宋" w:hAnsi="仿宋" w:eastAsia="仿宋" w:cs="仿宋"/>
                <w:b/>
              </w:rPr>
            </w:pPr>
          </w:p>
        </w:tc>
        <w:tc>
          <w:tcPr>
            <w:tcW w:w="919" w:type="dxa"/>
            <w:shd w:val="clear" w:color="auto" w:fill="auto"/>
            <w:vAlign w:val="center"/>
          </w:tcPr>
          <w:p>
            <w:pPr>
              <w:spacing w:line="300" w:lineRule="exact"/>
              <w:jc w:val="left"/>
              <w:rPr>
                <w:rFonts w:ascii="仿宋" w:hAnsi="仿宋" w:eastAsia="仿宋" w:cs="仿宋"/>
                <w:b/>
              </w:rPr>
            </w:pPr>
          </w:p>
        </w:tc>
        <w:tc>
          <w:tcPr>
            <w:tcW w:w="930" w:type="dxa"/>
            <w:shd w:val="clear" w:color="auto" w:fill="auto"/>
            <w:vAlign w:val="center"/>
          </w:tcPr>
          <w:p>
            <w:pPr>
              <w:spacing w:line="300" w:lineRule="exact"/>
              <w:jc w:val="left"/>
              <w:rPr>
                <w:rFonts w:ascii="仿宋" w:hAnsi="仿宋" w:eastAsia="仿宋" w:cs="仿宋"/>
                <w:b/>
              </w:rPr>
            </w:pPr>
          </w:p>
        </w:tc>
        <w:tc>
          <w:tcPr>
            <w:tcW w:w="718" w:type="dxa"/>
            <w:shd w:val="clear" w:color="auto" w:fill="auto"/>
            <w:vAlign w:val="center"/>
          </w:tcPr>
          <w:p>
            <w:pPr>
              <w:spacing w:line="300" w:lineRule="exact"/>
              <w:jc w:val="left"/>
              <w:rPr>
                <w:rFonts w:ascii="仿宋" w:hAnsi="仿宋" w:eastAsia="仿宋" w:cs="仿宋"/>
                <w:b/>
              </w:rPr>
            </w:pPr>
          </w:p>
        </w:tc>
        <w:tc>
          <w:tcPr>
            <w:tcW w:w="718" w:type="dxa"/>
            <w:shd w:val="clear" w:color="auto" w:fill="auto"/>
            <w:vAlign w:val="center"/>
          </w:tcPr>
          <w:p>
            <w:pPr>
              <w:spacing w:line="300" w:lineRule="exact"/>
              <w:jc w:val="right"/>
              <w:rPr>
                <w:rFonts w:ascii="仿宋" w:hAnsi="仿宋" w:eastAsia="仿宋" w:cs="仿宋"/>
                <w:b/>
              </w:rPr>
            </w:pPr>
          </w:p>
        </w:tc>
        <w:tc>
          <w:tcPr>
            <w:tcW w:w="800"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center"/>
              <w:rPr>
                <w:rFonts w:ascii="仿宋" w:hAnsi="仿宋" w:eastAsia="仿宋" w:cs="仿宋"/>
                <w:b/>
              </w:rPr>
            </w:pPr>
          </w:p>
        </w:tc>
        <w:tc>
          <w:tcPr>
            <w:tcW w:w="1037" w:type="dxa"/>
            <w:shd w:val="clear" w:color="auto" w:fill="auto"/>
            <w:vAlign w:val="center"/>
          </w:tcPr>
          <w:p>
            <w:pPr>
              <w:spacing w:line="300" w:lineRule="exact"/>
              <w:jc w:val="right"/>
              <w:rPr>
                <w:rFonts w:ascii="仿宋" w:hAnsi="仿宋" w:eastAsia="仿宋" w:cs="仿宋"/>
                <w:b/>
              </w:rPr>
            </w:pPr>
          </w:p>
        </w:tc>
        <w:tc>
          <w:tcPr>
            <w:tcW w:w="919" w:type="dxa"/>
            <w:shd w:val="clear" w:color="auto" w:fill="auto"/>
            <w:vAlign w:val="center"/>
          </w:tcPr>
          <w:p>
            <w:pPr>
              <w:spacing w:line="300" w:lineRule="exact"/>
              <w:jc w:val="left"/>
              <w:rPr>
                <w:rFonts w:ascii="仿宋" w:hAnsi="仿宋" w:eastAsia="仿宋" w:cs="仿宋"/>
                <w:b/>
              </w:rPr>
            </w:pPr>
          </w:p>
        </w:tc>
        <w:tc>
          <w:tcPr>
            <w:tcW w:w="930" w:type="dxa"/>
            <w:shd w:val="clear" w:color="auto" w:fill="auto"/>
            <w:vAlign w:val="center"/>
          </w:tcPr>
          <w:p>
            <w:pPr>
              <w:spacing w:line="300" w:lineRule="exact"/>
              <w:jc w:val="left"/>
              <w:rPr>
                <w:rFonts w:ascii="仿宋" w:hAnsi="仿宋" w:eastAsia="仿宋" w:cs="仿宋"/>
                <w:b/>
              </w:rPr>
            </w:pPr>
          </w:p>
        </w:tc>
        <w:tc>
          <w:tcPr>
            <w:tcW w:w="718" w:type="dxa"/>
            <w:shd w:val="clear" w:color="auto" w:fill="auto"/>
            <w:vAlign w:val="center"/>
          </w:tcPr>
          <w:p>
            <w:pPr>
              <w:spacing w:line="300" w:lineRule="exact"/>
              <w:jc w:val="left"/>
              <w:rPr>
                <w:rFonts w:ascii="仿宋" w:hAnsi="仿宋" w:eastAsia="仿宋" w:cs="仿宋"/>
                <w:b/>
              </w:rPr>
            </w:pPr>
          </w:p>
        </w:tc>
        <w:tc>
          <w:tcPr>
            <w:tcW w:w="718" w:type="dxa"/>
            <w:shd w:val="clear" w:color="auto" w:fill="auto"/>
            <w:vAlign w:val="center"/>
          </w:tcPr>
          <w:p>
            <w:pPr>
              <w:spacing w:line="300" w:lineRule="exact"/>
              <w:jc w:val="right"/>
              <w:rPr>
                <w:rFonts w:ascii="仿宋" w:hAnsi="仿宋" w:eastAsia="仿宋" w:cs="仿宋"/>
                <w:b/>
              </w:rPr>
            </w:pPr>
          </w:p>
        </w:tc>
        <w:tc>
          <w:tcPr>
            <w:tcW w:w="800"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08"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910" w:type="dxa"/>
            <w:shd w:val="clear" w:color="auto" w:fill="auto"/>
            <w:vAlign w:val="center"/>
          </w:tcPr>
          <w:p>
            <w:pPr>
              <w:spacing w:line="300" w:lineRule="exact"/>
              <w:jc w:val="right"/>
              <w:rPr>
                <w:rFonts w:ascii="仿宋" w:hAnsi="仿宋" w:eastAsia="仿宋" w:cs="仿宋"/>
                <w:b/>
              </w:rPr>
            </w:pPr>
          </w:p>
        </w:tc>
        <w:tc>
          <w:tcPr>
            <w:tcW w:w="869" w:type="dxa"/>
            <w:shd w:val="clear" w:color="auto" w:fill="auto"/>
            <w:vAlign w:val="center"/>
          </w:tcPr>
          <w:p>
            <w:pPr>
              <w:spacing w:line="300" w:lineRule="exact"/>
              <w:jc w:val="right"/>
              <w:rPr>
                <w:rFonts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9" w:type="dxa"/>
            <w:shd w:val="clear" w:color="auto" w:fill="auto"/>
            <w:vAlign w:val="center"/>
          </w:tcPr>
          <w:p>
            <w:pPr>
              <w:spacing w:line="300" w:lineRule="exact"/>
              <w:jc w:val="left"/>
              <w:rPr>
                <w:rFonts w:ascii="仿宋" w:hAnsi="仿宋" w:eastAsia="仿宋" w:cs="仿宋"/>
              </w:rPr>
            </w:pPr>
          </w:p>
        </w:tc>
        <w:tc>
          <w:tcPr>
            <w:tcW w:w="1037" w:type="dxa"/>
            <w:shd w:val="clear" w:color="auto" w:fill="auto"/>
            <w:vAlign w:val="center"/>
          </w:tcPr>
          <w:p>
            <w:pPr>
              <w:spacing w:line="300" w:lineRule="exact"/>
              <w:jc w:val="right"/>
              <w:rPr>
                <w:rFonts w:ascii="仿宋" w:hAnsi="仿宋" w:eastAsia="仿宋" w:cs="仿宋"/>
              </w:rPr>
            </w:pPr>
          </w:p>
        </w:tc>
        <w:tc>
          <w:tcPr>
            <w:tcW w:w="919" w:type="dxa"/>
            <w:shd w:val="clear" w:color="auto" w:fill="auto"/>
            <w:vAlign w:val="center"/>
          </w:tcPr>
          <w:p>
            <w:pPr>
              <w:spacing w:line="300" w:lineRule="exact"/>
              <w:jc w:val="left"/>
              <w:rPr>
                <w:rFonts w:ascii="仿宋" w:hAnsi="仿宋" w:eastAsia="仿宋" w:cs="仿宋"/>
              </w:rPr>
            </w:pPr>
          </w:p>
        </w:tc>
        <w:tc>
          <w:tcPr>
            <w:tcW w:w="930"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left"/>
              <w:rPr>
                <w:rFonts w:ascii="仿宋" w:hAnsi="仿宋" w:eastAsia="仿宋" w:cs="仿宋"/>
              </w:rPr>
            </w:pPr>
          </w:p>
        </w:tc>
        <w:tc>
          <w:tcPr>
            <w:tcW w:w="718" w:type="dxa"/>
            <w:shd w:val="clear" w:color="auto" w:fill="auto"/>
            <w:vAlign w:val="center"/>
          </w:tcPr>
          <w:p>
            <w:pPr>
              <w:spacing w:line="300" w:lineRule="exact"/>
              <w:jc w:val="right"/>
              <w:rPr>
                <w:rFonts w:ascii="仿宋" w:hAnsi="仿宋" w:eastAsia="仿宋" w:cs="仿宋"/>
              </w:rPr>
            </w:pPr>
          </w:p>
        </w:tc>
        <w:tc>
          <w:tcPr>
            <w:tcW w:w="800"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08"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910" w:type="dxa"/>
            <w:shd w:val="clear" w:color="auto" w:fill="auto"/>
            <w:vAlign w:val="center"/>
          </w:tcPr>
          <w:p>
            <w:pPr>
              <w:spacing w:line="300" w:lineRule="exact"/>
              <w:jc w:val="right"/>
              <w:rPr>
                <w:rFonts w:ascii="仿宋" w:hAnsi="仿宋" w:eastAsia="仿宋" w:cs="仿宋"/>
              </w:rPr>
            </w:pPr>
          </w:p>
        </w:tc>
        <w:tc>
          <w:tcPr>
            <w:tcW w:w="869" w:type="dxa"/>
            <w:shd w:val="clear" w:color="auto" w:fill="auto"/>
            <w:vAlign w:val="center"/>
          </w:tcPr>
          <w:p>
            <w:pPr>
              <w:spacing w:line="300" w:lineRule="exact"/>
              <w:jc w:val="right"/>
              <w:rPr>
                <w:rFonts w:ascii="仿宋" w:hAnsi="仿宋" w:eastAsia="仿宋" w:cs="仿宋"/>
              </w:rPr>
            </w:pPr>
          </w:p>
        </w:tc>
      </w:tr>
    </w:tbl>
    <w:p>
      <w:pPr>
        <w:autoSpaceDE w:val="0"/>
        <w:autoSpaceDN w:val="0"/>
        <w:adjustRightInd w:val="0"/>
        <w:jc w:val="left"/>
        <w:rPr>
          <w:rFonts w:ascii="仿宋" w:hAnsi="仿宋" w:eastAsia="仿宋" w:cs="仿宋"/>
          <w:sz w:val="32"/>
          <w:szCs w:val="32"/>
        </w:rPr>
      </w:pPr>
    </w:p>
    <w:p>
      <w:pPr>
        <w:autoSpaceDE w:val="0"/>
        <w:autoSpaceDN w:val="0"/>
        <w:adjustRightInd w:val="0"/>
        <w:ind w:firstLine="640" w:firstLineChars="200"/>
        <w:jc w:val="left"/>
        <w:rPr>
          <w:rFonts w:ascii="黑体" w:hAnsi="黑体" w:eastAsia="黑体" w:cs="黑体"/>
          <w:sz w:val="32"/>
          <w:szCs w:val="32"/>
        </w:rPr>
      </w:pPr>
      <w:r>
        <w:rPr>
          <w:rFonts w:hint="eastAsia" w:ascii="黑体" w:hAnsi="黑体" w:eastAsia="黑体" w:cs="黑体"/>
          <w:sz w:val="32"/>
          <w:szCs w:val="32"/>
        </w:rPr>
        <w:t>七、国有资产信息</w:t>
      </w:r>
    </w:p>
    <w:p>
      <w:pPr>
        <w:ind w:firstLine="640" w:firstLineChars="200"/>
        <w:rPr>
          <w:rFonts w:ascii="仿宋" w:hAnsi="仿宋" w:eastAsia="仿宋" w:cs="仿宋"/>
          <w:sz w:val="32"/>
          <w:szCs w:val="32"/>
        </w:rPr>
      </w:pPr>
      <w:r>
        <w:rPr>
          <w:rFonts w:hint="eastAsia" w:ascii="仿宋" w:hAnsi="仿宋" w:eastAsia="仿宋" w:cs="仿宋"/>
          <w:sz w:val="32"/>
          <w:szCs w:val="32"/>
        </w:rPr>
        <w:t>河北省粮食和物资储备局（含所属单位）上年末固定资产金额为8297.85万元（详见下表），本年度各单位（处室）拟购置固定资产总额为481万元，主要为计算机设备、打印设备、空调、办公家具等，已列入政府采购预算，详见政府采购预算表。</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编制部门：河北省粮食和物资储备局</w:t>
            </w:r>
          </w:p>
        </w:tc>
        <w:tc>
          <w:tcPr>
            <w:tcW w:w="5103" w:type="dxa"/>
            <w:tcBorders>
              <w:top w:val="nil"/>
              <w:left w:val="nil"/>
              <w:bottom w:val="nil"/>
              <w:right w:val="nil"/>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 xml:space="preserve">截止时间：2019年12月31日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8297.85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r>
              <w:rPr>
                <w:rFonts w:hint="eastAsia" w:ascii="仿宋" w:hAnsi="仿宋" w:eastAsia="仿宋" w:cs="仿宋"/>
                <w:sz w:val="22"/>
              </w:rPr>
              <w:t>11436.30</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r>
              <w:rPr>
                <w:rFonts w:hint="eastAsia" w:ascii="仿宋" w:hAnsi="仿宋" w:eastAsia="仿宋" w:cs="仿宋"/>
                <w:sz w:val="22"/>
              </w:rPr>
              <w:t>1466.16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r>
              <w:rPr>
                <w:rFonts w:hint="eastAsia" w:ascii="仿宋" w:hAnsi="仿宋" w:eastAsia="仿宋" w:cs="仿宋"/>
                <w:sz w:val="22"/>
              </w:rPr>
              <w:t>13</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r>
              <w:rPr>
                <w:rFonts w:hint="eastAsia" w:ascii="仿宋" w:hAnsi="仿宋" w:eastAsia="仿宋" w:cs="仿宋"/>
                <w:sz w:val="22"/>
              </w:rPr>
              <w:t>302.71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r>
              <w:rPr>
                <w:rFonts w:hint="eastAsia" w:ascii="仿宋" w:hAnsi="仿宋" w:eastAsia="仿宋" w:cs="仿宋"/>
                <w:sz w:val="22"/>
              </w:rPr>
              <w:t>14</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r>
              <w:rPr>
                <w:rFonts w:hint="eastAsia" w:ascii="仿宋" w:hAnsi="仿宋" w:eastAsia="仿宋" w:cs="仿宋"/>
                <w:sz w:val="22"/>
              </w:rPr>
              <w:t>1668.40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 w:val="22"/>
              </w:rPr>
            </w:pPr>
            <w:r>
              <w:rPr>
                <w:rFonts w:hint="eastAsia" w:ascii="仿宋" w:hAnsi="仿宋" w:eastAsia="仿宋" w:cs="仿宋"/>
                <w:sz w:val="22"/>
              </w:rPr>
              <w:t>4860.57</w:t>
            </w:r>
          </w:p>
        </w:tc>
      </w:tr>
    </w:tbl>
    <w:p>
      <w:pPr>
        <w:autoSpaceDE w:val="0"/>
        <w:autoSpaceDN w:val="0"/>
        <w:adjustRightInd w:val="0"/>
        <w:ind w:left="198" w:firstLine="640" w:firstLineChars="200"/>
        <w:jc w:val="left"/>
        <w:rPr>
          <w:rFonts w:ascii="黑体" w:hAnsi="黑体" w:eastAsia="黑体" w:cs="黑体"/>
          <w:sz w:val="32"/>
          <w:szCs w:val="32"/>
        </w:rPr>
      </w:pPr>
    </w:p>
    <w:p>
      <w:pPr>
        <w:autoSpaceDE w:val="0"/>
        <w:autoSpaceDN w:val="0"/>
        <w:adjustRightInd w:val="0"/>
        <w:ind w:left="198" w:firstLine="640" w:firstLineChars="200"/>
        <w:jc w:val="left"/>
        <w:rPr>
          <w:rFonts w:ascii="黑体" w:hAnsi="黑体" w:eastAsia="黑体" w:cs="黑体"/>
          <w:sz w:val="32"/>
          <w:szCs w:val="32"/>
        </w:rPr>
      </w:pPr>
      <w:r>
        <w:rPr>
          <w:rFonts w:hint="eastAsia" w:ascii="黑体" w:hAnsi="黑体" w:eastAsia="黑体" w:cs="黑体"/>
          <w:sz w:val="32"/>
          <w:szCs w:val="32"/>
        </w:rPr>
        <w:t>八、名词解释</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1、一般公共预算拨款收入：</w:t>
      </w:r>
      <w:r>
        <w:rPr>
          <w:rFonts w:hint="eastAsia" w:ascii="仿宋" w:hAnsi="仿宋" w:eastAsia="仿宋" w:cs="仿宋"/>
          <w:sz w:val="32"/>
          <w:szCs w:val="32"/>
        </w:rPr>
        <w:t>指省级财政当年拨付的资金。</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2、事业收入：</w:t>
      </w:r>
      <w:r>
        <w:rPr>
          <w:rFonts w:hint="eastAsia" w:ascii="仿宋" w:hAnsi="仿宋" w:eastAsia="仿宋" w:cs="仿宋"/>
          <w:sz w:val="32"/>
          <w:szCs w:val="32"/>
        </w:rPr>
        <w:t>指事业单位开展专业业务活动及辅助活动所取得的收入。</w:t>
      </w:r>
    </w:p>
    <w:p>
      <w:pPr>
        <w:tabs>
          <w:tab w:val="left" w:pos="11490"/>
        </w:tabs>
        <w:ind w:firstLine="642" w:firstLineChars="200"/>
        <w:rPr>
          <w:rFonts w:ascii="仿宋" w:hAnsi="仿宋" w:eastAsia="仿宋" w:cs="仿宋"/>
          <w:b/>
          <w:sz w:val="32"/>
          <w:szCs w:val="32"/>
        </w:rPr>
      </w:pPr>
      <w:r>
        <w:rPr>
          <w:rFonts w:hint="eastAsia" w:ascii="仿宋" w:hAnsi="仿宋" w:eastAsia="仿宋" w:cs="仿宋"/>
          <w:b/>
          <w:sz w:val="32"/>
          <w:szCs w:val="32"/>
        </w:rPr>
        <w:t>3、其他收入：</w:t>
      </w:r>
      <w:r>
        <w:rPr>
          <w:rFonts w:hint="eastAsia" w:ascii="仿宋" w:hAnsi="仿宋" w:eastAsia="仿宋" w:cs="仿宋"/>
          <w:sz w:val="32"/>
          <w:szCs w:val="32"/>
        </w:rPr>
        <w:t>指除“一般公共预算拨款收入”、“事业收入”等以外的收入。主要是按规定动用的租房收入、存款利息收入等。</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4、基本支出：</w:t>
      </w:r>
      <w:r>
        <w:rPr>
          <w:rFonts w:hint="eastAsia" w:ascii="仿宋" w:hAnsi="仿宋" w:eastAsia="仿宋" w:cs="仿宋"/>
          <w:sz w:val="32"/>
          <w:szCs w:val="32"/>
        </w:rPr>
        <w:t>指为保障机构正常运转、完成日常工作任务而发生的人员支出和公用支出。</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5、项目支出：</w:t>
      </w:r>
      <w:r>
        <w:rPr>
          <w:rFonts w:hint="eastAsia" w:ascii="仿宋" w:hAnsi="仿宋" w:eastAsia="仿宋" w:cs="仿宋"/>
          <w:sz w:val="32"/>
          <w:szCs w:val="32"/>
        </w:rPr>
        <w:t>指在基本支出之外为完成特定行政任务和事业发展目标所发生的支出。</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6、上缴上级支出：</w:t>
      </w:r>
      <w:r>
        <w:rPr>
          <w:rFonts w:hint="eastAsia" w:ascii="仿宋" w:hAnsi="仿宋" w:eastAsia="仿宋" w:cs="仿宋"/>
          <w:sz w:val="32"/>
          <w:szCs w:val="32"/>
        </w:rPr>
        <w:t>指下级单位上缴上级的支出。</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7、“三公”经费：</w:t>
      </w:r>
      <w:r>
        <w:rPr>
          <w:rFonts w:hint="eastAsia" w:ascii="仿宋" w:hAnsi="仿宋" w:eastAsia="仿宋" w:cs="仿宋"/>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8、机关运行费：</w:t>
      </w:r>
      <w:r>
        <w:rPr>
          <w:rFonts w:hint="eastAsia" w:ascii="仿宋" w:hAnsi="仿宋" w:eastAsia="仿宋" w:cs="仿宋"/>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9、上年结转：</w:t>
      </w:r>
      <w:r>
        <w:rPr>
          <w:rFonts w:hint="eastAsia" w:ascii="仿宋" w:hAnsi="仿宋" w:eastAsia="仿宋" w:cs="仿宋"/>
          <w:sz w:val="32"/>
          <w:szCs w:val="32"/>
        </w:rPr>
        <w:t>指以前年度尚未完成、结转到本年仍按原规定用途继续使用的资金。</w:t>
      </w:r>
    </w:p>
    <w:p>
      <w:pPr>
        <w:tabs>
          <w:tab w:val="left" w:pos="11490"/>
        </w:tabs>
        <w:ind w:firstLine="642" w:firstLineChars="200"/>
        <w:rPr>
          <w:rFonts w:ascii="仿宋" w:hAnsi="仿宋" w:eastAsia="仿宋" w:cs="仿宋"/>
          <w:sz w:val="32"/>
          <w:szCs w:val="32"/>
        </w:rPr>
      </w:pPr>
      <w:r>
        <w:rPr>
          <w:rFonts w:hint="eastAsia" w:ascii="仿宋" w:hAnsi="仿宋" w:eastAsia="仿宋" w:cs="仿宋"/>
          <w:b/>
          <w:sz w:val="32"/>
          <w:szCs w:val="32"/>
        </w:rPr>
        <w:t>10、事业单位经营支出：</w:t>
      </w:r>
      <w:r>
        <w:rPr>
          <w:rFonts w:hint="eastAsia" w:ascii="仿宋" w:hAnsi="仿宋" w:eastAsia="仿宋" w:cs="仿宋"/>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ascii="黑体" w:hAnsi="黑体" w:eastAsia="黑体" w:cs="黑体"/>
          <w:sz w:val="32"/>
          <w:szCs w:val="32"/>
        </w:rPr>
      </w:pPr>
      <w:r>
        <w:rPr>
          <w:rFonts w:hint="eastAsia" w:ascii="黑体" w:hAnsi="黑体" w:eastAsia="黑体" w:cs="黑体"/>
          <w:sz w:val="32"/>
          <w:szCs w:val="32"/>
        </w:rPr>
        <w:t>九、其他需要说明的事项</w:t>
      </w:r>
    </w:p>
    <w:p>
      <w:pPr>
        <w:ind w:firstLine="640" w:firstLineChars="200"/>
        <w:rPr>
          <w:rFonts w:ascii="仿宋" w:hAnsi="仿宋" w:eastAsia="仿宋" w:cs="仿宋"/>
          <w:sz w:val="32"/>
          <w:szCs w:val="32"/>
        </w:rPr>
      </w:pPr>
      <w:r>
        <w:rPr>
          <w:rFonts w:hint="eastAsia" w:ascii="仿宋" w:hAnsi="仿宋" w:eastAsia="仿宋" w:cs="仿宋"/>
          <w:sz w:val="32"/>
          <w:szCs w:val="32"/>
        </w:rPr>
        <w:t>我部门无其他需要说明的事项。</w:t>
      </w:r>
    </w:p>
    <w:p>
      <w:pPr>
        <w:rPr>
          <w:rFonts w:ascii="仿宋" w:hAnsi="仿宋" w:eastAsia="仿宋" w:cs="仿宋"/>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16</w:t>
                          </w:r>
                          <w:r>
                            <w:rPr>
                              <w:rStyle w:val="6"/>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16</w:t>
                    </w:r>
                    <w:r>
                      <w:rPr>
                        <w:rStyle w:val="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54380"/>
    <w:rsid w:val="00043C06"/>
    <w:rsid w:val="0016370B"/>
    <w:rsid w:val="0018488E"/>
    <w:rsid w:val="008E65D5"/>
    <w:rsid w:val="00CC4CAB"/>
    <w:rsid w:val="029925CA"/>
    <w:rsid w:val="02FF23BD"/>
    <w:rsid w:val="084267E8"/>
    <w:rsid w:val="0A0B0F9E"/>
    <w:rsid w:val="0A3670A6"/>
    <w:rsid w:val="0A6944D9"/>
    <w:rsid w:val="0D911B0C"/>
    <w:rsid w:val="0DA65957"/>
    <w:rsid w:val="10385ABF"/>
    <w:rsid w:val="17EF11DD"/>
    <w:rsid w:val="18B63F1A"/>
    <w:rsid w:val="1CA44025"/>
    <w:rsid w:val="1DDC44E0"/>
    <w:rsid w:val="1ECD35EF"/>
    <w:rsid w:val="1F4C79D9"/>
    <w:rsid w:val="2947607D"/>
    <w:rsid w:val="2ABAFA8F"/>
    <w:rsid w:val="30054380"/>
    <w:rsid w:val="33487287"/>
    <w:rsid w:val="34B53381"/>
    <w:rsid w:val="37893FDC"/>
    <w:rsid w:val="40415692"/>
    <w:rsid w:val="45AB493C"/>
    <w:rsid w:val="4B2F7E74"/>
    <w:rsid w:val="51B909D2"/>
    <w:rsid w:val="587A4FDB"/>
    <w:rsid w:val="5AD975C2"/>
    <w:rsid w:val="5F7827C0"/>
    <w:rsid w:val="5F97188F"/>
    <w:rsid w:val="62F93153"/>
    <w:rsid w:val="651C1F10"/>
    <w:rsid w:val="65FFEC28"/>
    <w:rsid w:val="66072791"/>
    <w:rsid w:val="67522F89"/>
    <w:rsid w:val="6AD319B0"/>
    <w:rsid w:val="6DC853A7"/>
    <w:rsid w:val="6EEA3299"/>
    <w:rsid w:val="75E8709D"/>
    <w:rsid w:val="76DB5A64"/>
    <w:rsid w:val="78FA3EBB"/>
    <w:rsid w:val="7AD513F3"/>
    <w:rsid w:val="7C415AB3"/>
    <w:rsid w:val="7F115660"/>
    <w:rsid w:val="7F977836"/>
    <w:rsid w:val="CE5F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unhideWhenUsed/>
    <w:qFormat/>
    <w:uiPriority w:val="99"/>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29</Pages>
  <Words>2025</Words>
  <Characters>11547</Characters>
  <Lines>96</Lines>
  <Paragraphs>27</Paragraphs>
  <TotalTime>58</TotalTime>
  <ScaleCrop>false</ScaleCrop>
  <LinksUpToDate>false</LinksUpToDate>
  <CharactersWithSpaces>13545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2020-01-09T09:29:00Z</dcterms:created>
  <dc:creator>Administrator</dc:creator>
  <cp:lastModifiedBy>uos</cp:lastModifiedBy>
  <dcterms:modified xsi:type="dcterms:W3CDTF">2024-04-16T11:06:00Z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